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E6455" w:rsidRDefault="00F92268" w:rsidP="000025F0">
            <w:pPr>
              <w:pStyle w:val="Header"/>
              <w:rPr>
                <w:rFonts w:cs="Arial"/>
                <w:sz w:val="16"/>
                <w:szCs w:val="16"/>
              </w:rPr>
            </w:pPr>
            <w:r w:rsidRPr="00DE6455">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77A47AB" w:rsidR="00F92268" w:rsidRPr="002A5E78" w:rsidRDefault="00207B2F" w:rsidP="000025F0">
            <w:pPr>
              <w:pStyle w:val="Header"/>
              <w:rPr>
                <w:rFonts w:cs="Arial"/>
                <w:sz w:val="16"/>
                <w:szCs w:val="16"/>
              </w:rPr>
            </w:pPr>
            <w:r w:rsidRPr="002A5E78">
              <w:rPr>
                <w:rFonts w:cs="Arial"/>
                <w:sz w:val="16"/>
                <w:szCs w:val="16"/>
              </w:rPr>
              <w:t>2757-A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703EDED7" w14:textId="2F1B962D" w:rsidR="00DE6455" w:rsidRDefault="005F53B5" w:rsidP="00171575">
      <w:pPr>
        <w:pStyle w:val="Heading1"/>
        <w:rPr>
          <w:rFonts w:cs="Arial"/>
          <w:bCs/>
        </w:rPr>
      </w:pPr>
      <w:r w:rsidRPr="0096385A">
        <w:t>Specialty Guideline Management</w:t>
      </w:r>
      <w:r w:rsidR="00277791" w:rsidRPr="00AA1E6A">
        <w:br/>
      </w:r>
      <w:r w:rsidR="00E61889">
        <w:rPr>
          <w:rFonts w:cs="Arial"/>
          <w:bCs/>
        </w:rPr>
        <w:t>L</w:t>
      </w:r>
      <w:r w:rsidR="00EA5073">
        <w:rPr>
          <w:rFonts w:cs="Arial"/>
          <w:bCs/>
        </w:rPr>
        <w:t>ibtayo</w:t>
      </w:r>
    </w:p>
    <w:p w14:paraId="04A0B859" w14:textId="77777777" w:rsidR="004A1AA6" w:rsidRDefault="00C64534" w:rsidP="00F91068">
      <w:pPr>
        <w:pStyle w:val="Heading2"/>
      </w:pPr>
      <w:r>
        <w:t xml:space="preserve">Products Referenced by this </w:t>
      </w:r>
      <w:r w:rsidR="00501602">
        <w:t>Document</w:t>
      </w:r>
    </w:p>
    <w:p w14:paraId="5455152B" w14:textId="5004247F" w:rsidR="008E0F0D" w:rsidRPr="00BD1CC1" w:rsidRDefault="00D82D85" w:rsidP="004A1AA6">
      <w:pPr>
        <w:pStyle w:val="BodyText"/>
      </w:pPr>
      <w:r>
        <w:t xml:space="preserve">Drugs that are listed in the </w:t>
      </w:r>
      <w:r w:rsidR="000315F1">
        <w:t>following table</w:t>
      </w:r>
      <w:r>
        <w:t xml:space="preserve"> include both brand and generic and all dosage forms and strengths unless otherwise stated. </w:t>
      </w:r>
      <w:r w:rsidR="00844479">
        <w:t>Over</w:t>
      </w:r>
      <w:r w:rsidR="002A5E78">
        <w:t>-</w:t>
      </w:r>
      <w:r w:rsidR="00844479">
        <w:t>the</w:t>
      </w:r>
      <w:r w:rsidR="002A5E78">
        <w:t>-</w:t>
      </w:r>
      <w:r w:rsidR="00844479">
        <w:t>counter (</w:t>
      </w:r>
      <w:r>
        <w:t>OTC</w:t>
      </w:r>
      <w:r w:rsidR="00844479">
        <w:t>)</w:t>
      </w:r>
      <w:r>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1456E089">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1456E089">
        <w:trPr>
          <w:cantSplit/>
        </w:trPr>
        <w:tc>
          <w:tcPr>
            <w:tcW w:w="5265" w:type="dxa"/>
          </w:tcPr>
          <w:p w14:paraId="2D8FA8E3" w14:textId="75F9EC07" w:rsidR="00585FFF" w:rsidRPr="00A13936" w:rsidRDefault="00A13936" w:rsidP="00A13936">
            <w:pPr>
              <w:pStyle w:val="BodyText"/>
              <w:rPr>
                <w:rFonts w:eastAsia="CVS Health Sans"/>
                <w:color w:val="FFFFFF" w:themeColor="background1"/>
              </w:rPr>
            </w:pPr>
            <w:r w:rsidRPr="00A13936">
              <w:rPr>
                <w:rFonts w:eastAsia="CVS Health Sans"/>
              </w:rPr>
              <w:t>Libtayo</w:t>
            </w:r>
          </w:p>
        </w:tc>
        <w:tc>
          <w:tcPr>
            <w:tcW w:w="5595" w:type="dxa"/>
          </w:tcPr>
          <w:p w14:paraId="7E26A004" w14:textId="1D97C247" w:rsidR="00585FFF" w:rsidRPr="00BD1CC1" w:rsidRDefault="00935131" w:rsidP="1456E089">
            <w:pPr>
              <w:pStyle w:val="TableDataUnpadded"/>
              <w:rPr>
                <w:rFonts w:eastAsia="CVS Health Sans" w:cs="CVS Health Sans"/>
              </w:rPr>
            </w:pPr>
            <w:r>
              <w:rPr>
                <w:rFonts w:eastAsia="CVS Health Sans" w:cs="CVS Health Sans"/>
              </w:rPr>
              <w:t>cemiplimab-rwlc</w:t>
            </w:r>
          </w:p>
        </w:tc>
      </w:tr>
    </w:tbl>
    <w:bookmarkEnd w:id="0"/>
    <w:p w14:paraId="76D20A1E" w14:textId="77777777" w:rsidR="004A1AA6" w:rsidRDefault="00ED052F" w:rsidP="004A1AA6">
      <w:pPr>
        <w:pStyle w:val="Heading2"/>
      </w:pPr>
      <w:r>
        <w:t>Indications</w:t>
      </w:r>
    </w:p>
    <w:p w14:paraId="2034B2D4" w14:textId="1B81DF42" w:rsidR="00694FE1" w:rsidRPr="00CF7CE2" w:rsidRDefault="00694FE1" w:rsidP="004A1AA6">
      <w:pPr>
        <w:pStyle w:val="BodyText"/>
      </w:pPr>
      <w:r w:rsidRPr="00CF7CE2">
        <w:rPr>
          <w:rStyle w:val="normaltextrun"/>
        </w:rPr>
        <w:t>The indications below including FDA-approved indications and compendial uses are considered a covered benefit provided that all the approval criteria are met and the member has no exclusions to the prescribed therapy.</w:t>
      </w:r>
    </w:p>
    <w:p w14:paraId="134B5687" w14:textId="36BCEBC6" w:rsidR="00ED052F" w:rsidRPr="009933DB" w:rsidRDefault="00ED052F" w:rsidP="00694FE1">
      <w:pPr>
        <w:pStyle w:val="Heading3"/>
        <w:rPr>
          <w:vertAlign w:val="superscript"/>
        </w:rPr>
      </w:pPr>
      <w:r w:rsidRPr="00694FE1">
        <w:t>FDA-</w:t>
      </w:r>
      <w:r w:rsidR="00694FE1" w:rsidRPr="00694FE1">
        <w:t>A</w:t>
      </w:r>
      <w:r w:rsidRPr="00694FE1">
        <w:t>pproved Indications</w:t>
      </w:r>
      <w:r w:rsidR="00D43AB3">
        <w:rPr>
          <w:vertAlign w:val="superscript"/>
        </w:rPr>
        <w:t>1</w:t>
      </w:r>
    </w:p>
    <w:p w14:paraId="199295D1" w14:textId="38F56920" w:rsidR="002541F6" w:rsidRPr="002541F6" w:rsidRDefault="002541F6" w:rsidP="00165FC7">
      <w:pPr>
        <w:pStyle w:val="Heading4"/>
      </w:pPr>
      <w:r w:rsidRPr="002541F6">
        <w:t>Cutaneous Squamous Cell Carcinoma (CSCC)</w:t>
      </w:r>
    </w:p>
    <w:p w14:paraId="278A23A2" w14:textId="39CEB962" w:rsidR="002541F6" w:rsidRPr="002541F6" w:rsidRDefault="002541F6" w:rsidP="00165FC7">
      <w:pPr>
        <w:pStyle w:val="BodyText"/>
      </w:pPr>
      <w:r w:rsidRPr="002541F6">
        <w:t>Libtayo is indicated for the treatment of patients with metastatic CSCC or locally advanced CSCC who are not candidates for curative surgery or curative radiation.</w:t>
      </w:r>
    </w:p>
    <w:p w14:paraId="7985B3DF" w14:textId="4AAAA663" w:rsidR="002541F6" w:rsidRPr="002541F6" w:rsidRDefault="002541F6" w:rsidP="00165FC7">
      <w:pPr>
        <w:pStyle w:val="Heading4"/>
      </w:pPr>
      <w:r w:rsidRPr="002541F6">
        <w:t>Basal Cell Carcinoma (BCC)</w:t>
      </w:r>
    </w:p>
    <w:p w14:paraId="290DE636" w14:textId="6E63FC34" w:rsidR="006F3A6A" w:rsidRPr="00351F9E" w:rsidRDefault="002541F6" w:rsidP="002A5E78">
      <w:pPr>
        <w:pStyle w:val="BodyText"/>
      </w:pPr>
      <w:r w:rsidRPr="00351F9E">
        <w:t xml:space="preserve">Libtayo is indicated for the treatment of patients with locally advanced </w:t>
      </w:r>
      <w:r w:rsidR="00021AFE">
        <w:t xml:space="preserve">or metastatic </w:t>
      </w:r>
      <w:r w:rsidRPr="00351F9E">
        <w:t xml:space="preserve">BCC </w:t>
      </w:r>
      <w:r w:rsidR="00021AFE">
        <w:t xml:space="preserve">who have been </w:t>
      </w:r>
      <w:r w:rsidRPr="00351F9E">
        <w:t>previously treated with a hedgehog pathway inhibitor or for whom a hedgehog pathway inhibitor is not appropriate.</w:t>
      </w:r>
    </w:p>
    <w:p w14:paraId="30B1F923" w14:textId="50BDAAB8" w:rsidR="002541F6" w:rsidRPr="002541F6" w:rsidRDefault="002541F6" w:rsidP="00165FC7">
      <w:pPr>
        <w:pStyle w:val="Heading4"/>
      </w:pPr>
      <w:r w:rsidRPr="002541F6">
        <w:t>Non-Small Cell Lung Cancer (NSCLC)</w:t>
      </w:r>
    </w:p>
    <w:p w14:paraId="36AF7AD3" w14:textId="1BD44313" w:rsidR="002541F6" w:rsidRPr="00C26FD1" w:rsidRDefault="002541F6" w:rsidP="00165FC7">
      <w:pPr>
        <w:pStyle w:val="ListParagraph"/>
      </w:pPr>
      <w:r w:rsidRPr="00C26FD1">
        <w:t xml:space="preserve">Libtayo, as a single agent, is indicated for the first-line treatment of adult patients with non-small cell lung cancer (NSCLC) whose tumors have high PD-L1 expression [Tumor Proportion </w:t>
      </w:r>
      <w:r w:rsidRPr="00C26FD1">
        <w:lastRenderedPageBreak/>
        <w:t xml:space="preserve">Score (TPS) </w:t>
      </w:r>
      <w:r w:rsidR="006D4101">
        <w:rPr>
          <w:rFonts w:ascii="Calibri" w:hAnsi="Calibri" w:cs="Calibri"/>
        </w:rPr>
        <w:t>≥</w:t>
      </w:r>
      <w:r w:rsidRPr="00C26FD1">
        <w:t xml:space="preserve"> 50%] as determined by an FDA-approved test, with no EGFR, ALK or ROS1 aberrations, and is:</w:t>
      </w:r>
    </w:p>
    <w:p w14:paraId="0507B298" w14:textId="3ADD5AA7" w:rsidR="002541F6" w:rsidRPr="00C26FD1" w:rsidRDefault="002541F6" w:rsidP="00165FC7">
      <w:pPr>
        <w:pStyle w:val="ListParagraph"/>
        <w:numPr>
          <w:ilvl w:val="1"/>
          <w:numId w:val="20"/>
        </w:numPr>
      </w:pPr>
      <w:r w:rsidRPr="00C26FD1">
        <w:t>locally advanced where patients are not candidates for surgical resection or definitive chemoradiation or</w:t>
      </w:r>
    </w:p>
    <w:p w14:paraId="135B1EB4" w14:textId="58EB7FB3" w:rsidR="002541F6" w:rsidRPr="00C26FD1" w:rsidRDefault="002541F6" w:rsidP="00165FC7">
      <w:pPr>
        <w:pStyle w:val="ListParagraph"/>
        <w:numPr>
          <w:ilvl w:val="1"/>
          <w:numId w:val="20"/>
        </w:numPr>
      </w:pPr>
      <w:r w:rsidRPr="00C26FD1">
        <w:t>metastatic</w:t>
      </w:r>
    </w:p>
    <w:p w14:paraId="29B59CAF" w14:textId="5D8ED75C" w:rsidR="002541F6" w:rsidRPr="00C26FD1" w:rsidRDefault="002541F6" w:rsidP="00165FC7">
      <w:pPr>
        <w:pStyle w:val="ListParagraph"/>
      </w:pPr>
      <w:r w:rsidRPr="00C26FD1">
        <w:t>Libtayo, in combination with platinum-based chemotherapy, is indicated for the first-line treatment of adult patients with NSCLC with no EGFR, ALK, or ROS1 aberrations and is:</w:t>
      </w:r>
    </w:p>
    <w:p w14:paraId="3748AF61" w14:textId="4BE8BC63" w:rsidR="002541F6" w:rsidRPr="00C26FD1" w:rsidRDefault="002541F6" w:rsidP="00165FC7">
      <w:pPr>
        <w:pStyle w:val="ListParagraph"/>
        <w:numPr>
          <w:ilvl w:val="1"/>
          <w:numId w:val="20"/>
        </w:numPr>
      </w:pPr>
      <w:r w:rsidRPr="00C26FD1">
        <w:t>locally advanced where patients are not candidates for surgical resection or definitive chemoradiation or</w:t>
      </w:r>
    </w:p>
    <w:p w14:paraId="68C8BACE" w14:textId="3A90053F" w:rsidR="59CED47F" w:rsidRPr="00C26FD1" w:rsidRDefault="002541F6" w:rsidP="00165FC7">
      <w:pPr>
        <w:pStyle w:val="ListParagraph"/>
        <w:numPr>
          <w:ilvl w:val="1"/>
          <w:numId w:val="20"/>
        </w:numPr>
      </w:pPr>
      <w:r w:rsidRPr="00C26FD1">
        <w:t>metastatic</w:t>
      </w:r>
    </w:p>
    <w:p w14:paraId="398F58EB" w14:textId="77777777" w:rsidR="004229CA" w:rsidRDefault="009F2EF1" w:rsidP="004229CA">
      <w:pPr>
        <w:pStyle w:val="Heading3"/>
        <w:rPr>
          <w:vertAlign w:val="superscript"/>
        </w:rPr>
      </w:pPr>
      <w:r>
        <w:t>Compendial Uses</w:t>
      </w:r>
      <w:r w:rsidR="00D43AB3">
        <w:rPr>
          <w:vertAlign w:val="superscript"/>
        </w:rPr>
        <w:t>2</w:t>
      </w:r>
    </w:p>
    <w:p w14:paraId="72B4DF69" w14:textId="70C10FFD" w:rsidR="002B70AF" w:rsidRPr="002B70AF" w:rsidRDefault="002B70AF" w:rsidP="004229CA">
      <w:pPr>
        <w:pStyle w:val="ListParagraph"/>
      </w:pPr>
      <w:r w:rsidRPr="002B70AF">
        <w:t>Squamous cell skin cancer</w:t>
      </w:r>
    </w:p>
    <w:p w14:paraId="1FEBBD7A" w14:textId="4A0F902C" w:rsidR="002B70AF" w:rsidRPr="002B70AF" w:rsidRDefault="002B70AF" w:rsidP="002B70AF">
      <w:pPr>
        <w:pStyle w:val="ListParagraph"/>
      </w:pPr>
      <w:r w:rsidRPr="002B70AF">
        <w:t>Basal cell skin cancer</w:t>
      </w:r>
    </w:p>
    <w:p w14:paraId="31D0AE63" w14:textId="28D0D464" w:rsidR="002B70AF" w:rsidRPr="002B70AF" w:rsidRDefault="002B70AF" w:rsidP="002B70AF">
      <w:pPr>
        <w:pStyle w:val="ListParagraph"/>
      </w:pPr>
      <w:r w:rsidRPr="002B70AF">
        <w:t>Non-small cell lung cance</w:t>
      </w:r>
      <w:r w:rsidR="006A18A8">
        <w:t>r</w:t>
      </w:r>
    </w:p>
    <w:p w14:paraId="2DBEE73B" w14:textId="67EC48ED" w:rsidR="002B70AF" w:rsidRPr="002B70AF" w:rsidRDefault="002B70AF" w:rsidP="002B70AF">
      <w:pPr>
        <w:pStyle w:val="ListParagraph"/>
      </w:pPr>
      <w:r w:rsidRPr="002B70AF">
        <w:t>Vulvar Cancer</w:t>
      </w:r>
    </w:p>
    <w:p w14:paraId="0FB97F0E" w14:textId="6EB692D2" w:rsidR="002B70AF" w:rsidRDefault="002B70AF" w:rsidP="002B70AF">
      <w:pPr>
        <w:pStyle w:val="ListParagraph"/>
      </w:pPr>
      <w:r w:rsidRPr="002B70AF">
        <w:t>Cervical Cancer</w:t>
      </w:r>
    </w:p>
    <w:p w14:paraId="4FDA913D" w14:textId="0650D7E9" w:rsidR="00021AFE" w:rsidRDefault="00021AFE" w:rsidP="002B70AF">
      <w:pPr>
        <w:pStyle w:val="ListParagraph"/>
      </w:pPr>
      <w:r>
        <w:t>Vaginal Cancer</w:t>
      </w:r>
    </w:p>
    <w:p w14:paraId="6CF037C4" w14:textId="77777777" w:rsidR="00AF08B5" w:rsidRDefault="00AF08B5" w:rsidP="00AF08B5">
      <w:pPr>
        <w:pStyle w:val="ListParagraph"/>
      </w:pPr>
      <w:r>
        <w:t>Anal carcinoma</w:t>
      </w:r>
    </w:p>
    <w:p w14:paraId="4F6ED3F2" w14:textId="50FBDB2F" w:rsidR="00AF08B5" w:rsidRDefault="00AF08B5" w:rsidP="00AF08B5">
      <w:pPr>
        <w:pStyle w:val="ListParagraph"/>
      </w:pPr>
      <w:r>
        <w:t>Small bowel adenocarcinoma</w:t>
      </w:r>
    </w:p>
    <w:p w14:paraId="5328A2BB" w14:textId="26159AF4" w:rsidR="00626633" w:rsidRDefault="00626633" w:rsidP="00AF08B5">
      <w:pPr>
        <w:pStyle w:val="ListParagraph"/>
      </w:pPr>
      <w:r>
        <w:t>Colon adenocarcinoma</w:t>
      </w:r>
    </w:p>
    <w:p w14:paraId="6A737E2A" w14:textId="7AFDB055" w:rsidR="00626633" w:rsidRDefault="00626633" w:rsidP="00AF08B5">
      <w:pPr>
        <w:pStyle w:val="ListParagraph"/>
      </w:pPr>
      <w:r>
        <w:t>Appendiceal adenocarcinoma</w:t>
      </w:r>
    </w:p>
    <w:p w14:paraId="7489E2E7" w14:textId="0B34A626" w:rsidR="00626633" w:rsidRPr="002B70AF" w:rsidRDefault="00626633" w:rsidP="00AF08B5">
      <w:pPr>
        <w:pStyle w:val="ListParagraph"/>
      </w:pPr>
      <w:r>
        <w:t>Rectal adenocarcinoma</w:t>
      </w:r>
    </w:p>
    <w:p w14:paraId="0D5A9DD5" w14:textId="6D2B839D" w:rsidR="009A5649" w:rsidRDefault="002B70AF" w:rsidP="002B70AF">
      <w:pPr>
        <w:pStyle w:val="BodyText"/>
        <w:rPr>
          <w:rStyle w:val="eop"/>
        </w:rPr>
      </w:pPr>
      <w:r w:rsidRPr="002B70AF">
        <w:rPr>
          <w:rStyle w:val="normaltextrun"/>
        </w:rPr>
        <w:t>All other indications are considered experimental/investigational and not medically necessary.</w:t>
      </w:r>
    </w:p>
    <w:p w14:paraId="14D5028C" w14:textId="39650BA8" w:rsidR="00452C29" w:rsidRPr="00452C29" w:rsidRDefault="00FA7184" w:rsidP="00165FC7">
      <w:pPr>
        <w:pStyle w:val="Heading2"/>
        <w:rPr>
          <w:rFonts w:eastAsia="Arial"/>
        </w:rPr>
      </w:pPr>
      <w:r w:rsidRPr="00452C29">
        <w:rPr>
          <w:rFonts w:eastAsia="Arial"/>
        </w:rPr>
        <w:t>Exclusions</w:t>
      </w:r>
    </w:p>
    <w:p w14:paraId="7A8F2DCA" w14:textId="4ACF69D5" w:rsidR="00452C29" w:rsidRPr="002B70AF" w:rsidRDefault="00452C29" w:rsidP="00452C29">
      <w:pPr>
        <w:pStyle w:val="BodyText"/>
        <w:rPr>
          <w:rFonts w:eastAsia="Arial"/>
        </w:rPr>
      </w:pPr>
      <w:r w:rsidRPr="00452C29">
        <w:rPr>
          <w:rFonts w:eastAsia="Arial"/>
        </w:rPr>
        <w:t>Coverage will not be provided for members who have experienced disease progression while on programmed death receptor-1 (PD-1) or programmed death ligand 1 (PD-L1) inhibitor therapy.</w:t>
      </w:r>
    </w:p>
    <w:p w14:paraId="36381B6D" w14:textId="747CFBFA" w:rsidR="000D2496" w:rsidRPr="00BD1CC1" w:rsidRDefault="000D2496" w:rsidP="000D2496">
      <w:pPr>
        <w:pStyle w:val="Heading2"/>
      </w:pPr>
      <w:r w:rsidRPr="00BD1CC1">
        <w:t>Documentation</w:t>
      </w:r>
    </w:p>
    <w:p w14:paraId="79C47276" w14:textId="79DB9EC0" w:rsidR="00C75C02" w:rsidRPr="00E60D7A" w:rsidRDefault="00C44495" w:rsidP="00E60D7A">
      <w:pPr>
        <w:pStyle w:val="BodyText"/>
        <w:rPr>
          <w:rStyle w:val="eop"/>
        </w:rPr>
      </w:pPr>
      <w:r w:rsidRPr="00E60D7A">
        <w:rPr>
          <w:rStyle w:val="normaltextrun"/>
        </w:rPr>
        <w:t>Submission of the following information is necessary to initiate the prior authorization review:</w:t>
      </w:r>
    </w:p>
    <w:p w14:paraId="27617B5C" w14:textId="7966328B" w:rsidR="00B81465" w:rsidRPr="00B81465" w:rsidRDefault="00B81465" w:rsidP="00B81465">
      <w:pPr>
        <w:pStyle w:val="ListParagraph"/>
      </w:pPr>
      <w:r w:rsidRPr="00B81465">
        <w:t>Documentation of programmed death ligand 1 (PD-L1) tumor expression, where applicable.</w:t>
      </w:r>
    </w:p>
    <w:p w14:paraId="5A4FA443" w14:textId="60ADF601" w:rsidR="00C44495" w:rsidRDefault="00B81465" w:rsidP="00C44495">
      <w:pPr>
        <w:pStyle w:val="ListParagraph"/>
      </w:pPr>
      <w:r w:rsidRPr="00B81465">
        <w:t>Documentation of molecular testing for EGFR, ALK, ROS1, BRAF, NTRK, MET, or RET genomic tumor aberrations, where applicable.</w:t>
      </w:r>
    </w:p>
    <w:p w14:paraId="033F8C04" w14:textId="45190B04" w:rsidR="00E07A34" w:rsidRPr="00C44495" w:rsidRDefault="00E07A34" w:rsidP="00E07A34">
      <w:pPr>
        <w:pStyle w:val="ListParagraph"/>
      </w:pPr>
      <w:r w:rsidRPr="00CB0A42">
        <w:t>Documentation of laboratory report confirming MSI-H, mismatch repair deficient (dMMR), or polymerase epsilon/delta (POLE/POLD1) tumor status, where applicable.</w:t>
      </w:r>
    </w:p>
    <w:p w14:paraId="4063E64D" w14:textId="2C57C8D1" w:rsidR="004229CA" w:rsidRDefault="00685107" w:rsidP="001D49FE">
      <w:pPr>
        <w:pStyle w:val="Heading2"/>
        <w:tabs>
          <w:tab w:val="center" w:pos="5400"/>
        </w:tabs>
      </w:pPr>
      <w:r>
        <w:t>Coverage Criteria</w:t>
      </w:r>
    </w:p>
    <w:p w14:paraId="2EE65B8E" w14:textId="14B35F83" w:rsidR="008F47E7" w:rsidRPr="00D92886" w:rsidRDefault="008F47E7" w:rsidP="004229CA">
      <w:pPr>
        <w:pStyle w:val="Heading3"/>
        <w:rPr>
          <w:vertAlign w:val="superscript"/>
        </w:rPr>
      </w:pPr>
      <w:r w:rsidRPr="008F47E7">
        <w:t>Cutaneous Squamous Cell Carcinoma (CSCC)</w:t>
      </w:r>
      <w:r w:rsidR="00BF7D1E" w:rsidRPr="00BF7D1E">
        <w:rPr>
          <w:vertAlign w:val="superscript"/>
        </w:rPr>
        <w:t xml:space="preserve"> </w:t>
      </w:r>
      <w:r w:rsidR="00BF7D1E">
        <w:rPr>
          <w:vertAlign w:val="superscript"/>
        </w:rPr>
        <w:t>1,2</w:t>
      </w:r>
    </w:p>
    <w:p w14:paraId="56532EA0" w14:textId="505D180F" w:rsidR="008F47E7" w:rsidRPr="008F47E7" w:rsidRDefault="008F47E7" w:rsidP="00087FA1">
      <w:pPr>
        <w:pStyle w:val="BodyText"/>
      </w:pPr>
      <w:r w:rsidRPr="008F47E7">
        <w:t xml:space="preserve">Authorization of 6 months may be granted as single-agent neoadjuvant treatment of </w:t>
      </w:r>
      <w:r w:rsidR="00EA7DAC" w:rsidRPr="00EA7DAC">
        <w:t xml:space="preserve">very high risk, locally advanced, unresectable, or regional </w:t>
      </w:r>
      <w:r w:rsidRPr="008F47E7">
        <w:t>cutaneous squamous cell carcinoma.</w:t>
      </w:r>
    </w:p>
    <w:p w14:paraId="50309A5F" w14:textId="0A25FD3D" w:rsidR="008F47E7" w:rsidRPr="008F47E7" w:rsidRDefault="008F47E7" w:rsidP="00087FA1">
      <w:pPr>
        <w:pStyle w:val="BodyText"/>
      </w:pPr>
      <w:r w:rsidRPr="008F47E7">
        <w:t>Authorization of 6 months may be granted for treatment of cutaneous squamous cell carcinoma when all of the following criteria are met:</w:t>
      </w:r>
    </w:p>
    <w:p w14:paraId="739F1E14" w14:textId="6E70BAF0" w:rsidR="008F47E7" w:rsidRPr="008F47E7" w:rsidRDefault="008F47E7" w:rsidP="00087FA1">
      <w:pPr>
        <w:pStyle w:val="ListParagraph"/>
      </w:pPr>
      <w:r w:rsidRPr="008F47E7">
        <w:t>The disease is one of the following:</w:t>
      </w:r>
    </w:p>
    <w:p w14:paraId="3A51D0DD" w14:textId="75C088B6" w:rsidR="008F47E7" w:rsidRPr="008F47E7" w:rsidRDefault="008F47E7" w:rsidP="0053634F">
      <w:pPr>
        <w:pStyle w:val="ListParagraph"/>
        <w:numPr>
          <w:ilvl w:val="1"/>
          <w:numId w:val="20"/>
        </w:numPr>
      </w:pPr>
      <w:r w:rsidRPr="008F47E7">
        <w:t>Metastatic</w:t>
      </w:r>
    </w:p>
    <w:p w14:paraId="6FC681D4" w14:textId="7649B450" w:rsidR="008F47E7" w:rsidRPr="008F47E7" w:rsidRDefault="008F47E7" w:rsidP="0053634F">
      <w:pPr>
        <w:pStyle w:val="ListParagraph"/>
        <w:numPr>
          <w:ilvl w:val="1"/>
          <w:numId w:val="20"/>
        </w:numPr>
      </w:pPr>
      <w:r w:rsidRPr="008F47E7">
        <w:t>Locally advanced</w:t>
      </w:r>
    </w:p>
    <w:p w14:paraId="2D6F9029" w14:textId="04974732" w:rsidR="008F47E7" w:rsidRPr="008F47E7" w:rsidRDefault="008F47E7" w:rsidP="0053634F">
      <w:pPr>
        <w:pStyle w:val="ListParagraph"/>
        <w:numPr>
          <w:ilvl w:val="1"/>
          <w:numId w:val="20"/>
        </w:numPr>
      </w:pPr>
      <w:r w:rsidRPr="008F47E7">
        <w:t>Recurrent</w:t>
      </w:r>
    </w:p>
    <w:p w14:paraId="2BFA4F56" w14:textId="3A92EC75" w:rsidR="008F47E7" w:rsidRPr="008F47E7" w:rsidRDefault="008F47E7" w:rsidP="00087FA1">
      <w:pPr>
        <w:pStyle w:val="ListParagraph"/>
      </w:pPr>
      <w:r w:rsidRPr="008F47E7">
        <w:t>The member is not a candidate for curative surgery or curative radiation</w:t>
      </w:r>
    </w:p>
    <w:p w14:paraId="05F4799D" w14:textId="31860D30" w:rsidR="008F47E7" w:rsidRPr="00087FA1" w:rsidRDefault="008F47E7" w:rsidP="00087FA1">
      <w:pPr>
        <w:pStyle w:val="ListParagraph"/>
      </w:pPr>
      <w:r w:rsidRPr="008F47E7">
        <w:t>The requested medication will be used as a single agent</w:t>
      </w:r>
    </w:p>
    <w:p w14:paraId="0EEA26E6" w14:textId="774B408D" w:rsidR="008F47E7" w:rsidRPr="00D92886" w:rsidRDefault="008F47E7" w:rsidP="008F47E7">
      <w:pPr>
        <w:pStyle w:val="Heading3"/>
        <w:rPr>
          <w:vertAlign w:val="superscript"/>
        </w:rPr>
      </w:pPr>
      <w:r w:rsidRPr="008F47E7">
        <w:t>Basal Cell Carcinoma (BCC)</w:t>
      </w:r>
      <w:r w:rsidR="00BF7D1E" w:rsidRPr="00BF7D1E">
        <w:rPr>
          <w:vertAlign w:val="superscript"/>
        </w:rPr>
        <w:t xml:space="preserve"> </w:t>
      </w:r>
      <w:r w:rsidR="00BF7D1E">
        <w:rPr>
          <w:vertAlign w:val="superscript"/>
        </w:rPr>
        <w:t>1,2</w:t>
      </w:r>
    </w:p>
    <w:p w14:paraId="47E2F522" w14:textId="73349F01" w:rsidR="008F47E7" w:rsidRPr="008F47E7" w:rsidRDefault="008F47E7" w:rsidP="008F47E7">
      <w:pPr>
        <w:pStyle w:val="BodyText"/>
        <w:rPr>
          <w:rFonts w:ascii="Segoe UI" w:hAnsi="Segoe UI" w:cs="Segoe UI"/>
          <w:sz w:val="18"/>
          <w:szCs w:val="18"/>
        </w:rPr>
      </w:pPr>
      <w:r w:rsidRPr="008F47E7">
        <w:t>Authorization of 6 months may be granted for single-agent treatment of basal cell carcinoma in members who have received a hedgehog pathway inhibitor (e.g., vismodegib [Erivedge], sonidegib [Odomzo]) or for whom a hedgehog pathway inhibitor is not appropriate and when any of the following criteria are met:</w:t>
      </w:r>
    </w:p>
    <w:p w14:paraId="68E3004D" w14:textId="44C4D4E3" w:rsidR="008F47E7" w:rsidRPr="008F47E7" w:rsidRDefault="008F47E7" w:rsidP="00087FA1">
      <w:pPr>
        <w:pStyle w:val="ListParagraph"/>
      </w:pPr>
      <w:r w:rsidRPr="008F47E7">
        <w:t>Member has locally advanced disease</w:t>
      </w:r>
    </w:p>
    <w:p w14:paraId="678F79D7" w14:textId="4E27D51E" w:rsidR="008F47E7" w:rsidRPr="008F47E7" w:rsidRDefault="008F47E7" w:rsidP="00087FA1">
      <w:pPr>
        <w:pStyle w:val="ListParagraph"/>
      </w:pPr>
      <w:r w:rsidRPr="008F47E7">
        <w:t>Member has nodal disease and surgery is not feasible</w:t>
      </w:r>
    </w:p>
    <w:p w14:paraId="2F28170B" w14:textId="6927B2C4" w:rsidR="008F47E7" w:rsidRPr="00087FA1" w:rsidRDefault="008F47E7" w:rsidP="008F47E7">
      <w:pPr>
        <w:pStyle w:val="ListParagraph"/>
      </w:pPr>
      <w:r w:rsidRPr="008F47E7">
        <w:t>Member has metastatic disease</w:t>
      </w:r>
    </w:p>
    <w:p w14:paraId="3008CA47" w14:textId="39EA18AE" w:rsidR="008F47E7" w:rsidRPr="00D92886" w:rsidRDefault="008F47E7" w:rsidP="00087FA1">
      <w:pPr>
        <w:pStyle w:val="Heading3"/>
        <w:rPr>
          <w:vertAlign w:val="superscript"/>
        </w:rPr>
      </w:pPr>
      <w:r w:rsidRPr="008F47E7">
        <w:t>Non-Small Cell Lung Cancer (NSCLC)</w:t>
      </w:r>
      <w:r w:rsidR="00BF7D1E" w:rsidRPr="00BF7D1E">
        <w:rPr>
          <w:vertAlign w:val="superscript"/>
        </w:rPr>
        <w:t xml:space="preserve"> </w:t>
      </w:r>
      <w:r w:rsidR="00BF7D1E">
        <w:rPr>
          <w:vertAlign w:val="superscript"/>
        </w:rPr>
        <w:t>1,2</w:t>
      </w:r>
    </w:p>
    <w:p w14:paraId="5C44D1FE" w14:textId="6F94736F" w:rsidR="008F47E7" w:rsidRPr="008F47E7" w:rsidRDefault="008F47E7" w:rsidP="00087FA1">
      <w:pPr>
        <w:pStyle w:val="BodyText"/>
        <w:rPr>
          <w:rFonts w:ascii="Segoe UI" w:hAnsi="Segoe UI" w:cs="Segoe UI"/>
          <w:sz w:val="18"/>
          <w:szCs w:val="18"/>
        </w:rPr>
      </w:pPr>
      <w:r w:rsidRPr="008F47E7">
        <w:t>Authorization of 6 months may be granted for treatment of recurrent, advanced, or metastatic non-small cell lung cancer (NSCLC) when any of the following criteria are met:</w:t>
      </w:r>
    </w:p>
    <w:p w14:paraId="5738F30F" w14:textId="2D1D6170" w:rsidR="008F47E7" w:rsidRPr="008F47E7" w:rsidRDefault="008F47E7" w:rsidP="00087FA1">
      <w:pPr>
        <w:pStyle w:val="ListParagraph"/>
      </w:pPr>
      <w:r w:rsidRPr="008F47E7">
        <w:t>The requested medication will be used as first-line therapy and the tumor does not have EGFR exon 19 deletions or L858R mutations, ALK rearrangements, or ROS1 aberrations (unless testing is not feasible due to insufficient tissue) as either:</w:t>
      </w:r>
    </w:p>
    <w:p w14:paraId="3ED174F8" w14:textId="5B2FBFC1" w:rsidR="008F47E7" w:rsidRPr="008F47E7" w:rsidRDefault="008F47E7" w:rsidP="0053634F">
      <w:pPr>
        <w:pStyle w:val="ListParagraph"/>
        <w:numPr>
          <w:ilvl w:val="1"/>
          <w:numId w:val="20"/>
        </w:numPr>
      </w:pPr>
      <w:r w:rsidRPr="008F47E7">
        <w:t xml:space="preserve">A single agent for tumors with a high PD-L1 expression [Tumor Proportion Score (TPS) </w:t>
      </w:r>
      <w:r w:rsidRPr="008F47E7">
        <w:rPr>
          <w:u w:val="single"/>
        </w:rPr>
        <w:t>&gt;</w:t>
      </w:r>
      <w:r w:rsidRPr="008F47E7">
        <w:t xml:space="preserve"> 50%], or</w:t>
      </w:r>
    </w:p>
    <w:p w14:paraId="696FF2CC" w14:textId="51DC468C" w:rsidR="008F47E7" w:rsidRPr="00087FA1" w:rsidRDefault="008F47E7" w:rsidP="0053634F">
      <w:pPr>
        <w:pStyle w:val="ListParagraph"/>
        <w:numPr>
          <w:ilvl w:val="1"/>
          <w:numId w:val="20"/>
        </w:numPr>
      </w:pPr>
      <w:r w:rsidRPr="008F47E7">
        <w:t>In combination with platinum-based chemotherapy</w:t>
      </w:r>
    </w:p>
    <w:p w14:paraId="06C26503" w14:textId="0A8B573B" w:rsidR="008F47E7" w:rsidRPr="008F47E7" w:rsidRDefault="008F47E7" w:rsidP="00087FA1">
      <w:pPr>
        <w:pStyle w:val="ListParagraph"/>
      </w:pPr>
      <w:r w:rsidRPr="008F47E7">
        <w:t xml:space="preserve">The requested medication will be used as maintenance therapy following first-line cemiplimab-rwlc therapy and the tumor does not have EGFR exon 19 deletions or L858R mutations, ALK rearrangements, or ROS1 aberrations (unless testing is not feasible due to insufficient tissue) as either: </w:t>
      </w:r>
      <w:r w:rsidRPr="008F47E7">
        <w:rPr>
          <w:rFonts w:ascii="Arial" w:hAnsi="Arial"/>
        </w:rPr>
        <w:t> </w:t>
      </w:r>
    </w:p>
    <w:p w14:paraId="6AA9E2F4" w14:textId="1E9E3B44" w:rsidR="008F47E7" w:rsidRPr="008F47E7" w:rsidRDefault="008F47E7" w:rsidP="0053634F">
      <w:pPr>
        <w:pStyle w:val="ListParagraph"/>
        <w:numPr>
          <w:ilvl w:val="1"/>
          <w:numId w:val="20"/>
        </w:numPr>
      </w:pPr>
      <w:r w:rsidRPr="008F47E7">
        <w:t>A single agent, or</w:t>
      </w:r>
    </w:p>
    <w:p w14:paraId="1D52BA1B" w14:textId="4AA66040" w:rsidR="008F47E7" w:rsidRPr="001B68DD" w:rsidRDefault="008F47E7" w:rsidP="0053634F">
      <w:pPr>
        <w:pStyle w:val="ListParagraph"/>
        <w:numPr>
          <w:ilvl w:val="1"/>
          <w:numId w:val="20"/>
        </w:numPr>
      </w:pPr>
      <w:r w:rsidRPr="008F47E7">
        <w:t>In combination with pemetrexe</w:t>
      </w:r>
      <w:r w:rsidR="000F04B2">
        <w:t>d</w:t>
      </w:r>
    </w:p>
    <w:p w14:paraId="484F1FE3" w14:textId="249D4C1B" w:rsidR="008F47E7" w:rsidRPr="001B68DD" w:rsidRDefault="008F47E7" w:rsidP="009933DB">
      <w:pPr>
        <w:pStyle w:val="ListParagraph"/>
      </w:pPr>
      <w:r w:rsidRPr="008F47E7">
        <w:t>The requested medication will be used as subsequent therapy in combination with platinum-based chemotherapy</w:t>
      </w:r>
      <w:r w:rsidR="00570EE1">
        <w:t>.</w:t>
      </w:r>
    </w:p>
    <w:p w14:paraId="1E8716BE" w14:textId="06726573" w:rsidR="008F47E7" w:rsidRPr="00D92886" w:rsidRDefault="008F47E7" w:rsidP="00B21730">
      <w:pPr>
        <w:pStyle w:val="Heading3"/>
        <w:rPr>
          <w:vertAlign w:val="superscript"/>
        </w:rPr>
      </w:pPr>
      <w:r w:rsidRPr="008F47E7">
        <w:t>Vulvar Cancer</w:t>
      </w:r>
      <w:r w:rsidR="00BF7D1E">
        <w:rPr>
          <w:vertAlign w:val="superscript"/>
        </w:rPr>
        <w:t>2</w:t>
      </w:r>
    </w:p>
    <w:p w14:paraId="33EDF689" w14:textId="23EA0858" w:rsidR="008F47E7" w:rsidRPr="008F47E7" w:rsidRDefault="008F47E7" w:rsidP="001B68DD">
      <w:pPr>
        <w:pStyle w:val="BodyText"/>
        <w:rPr>
          <w:rFonts w:ascii="Segoe UI" w:hAnsi="Segoe UI" w:cs="Segoe UI"/>
          <w:sz w:val="18"/>
          <w:szCs w:val="18"/>
        </w:rPr>
      </w:pPr>
      <w:r w:rsidRPr="008F47E7">
        <w:t>Authorization of 6 months may be granted as subsequent therapy for advanced or recurrent/metastatic vulvar cancer when the requested medication will be used as a single agent.</w:t>
      </w:r>
    </w:p>
    <w:p w14:paraId="4B17A588" w14:textId="25589125" w:rsidR="008F47E7" w:rsidRPr="00D92886" w:rsidRDefault="008F47E7" w:rsidP="00B21730">
      <w:pPr>
        <w:pStyle w:val="Heading3"/>
        <w:rPr>
          <w:vertAlign w:val="superscript"/>
        </w:rPr>
      </w:pPr>
      <w:r w:rsidRPr="008F47E7">
        <w:t>Cervical Cancer</w:t>
      </w:r>
      <w:r w:rsidR="00BF7D1E">
        <w:rPr>
          <w:vertAlign w:val="superscript"/>
        </w:rPr>
        <w:t>2</w:t>
      </w:r>
    </w:p>
    <w:p w14:paraId="30708AA0" w14:textId="3EFF24A8" w:rsidR="00165258" w:rsidRPr="00B21730" w:rsidRDefault="008F47E7" w:rsidP="00165258">
      <w:pPr>
        <w:pStyle w:val="BodyText"/>
        <w:rPr>
          <w:rFonts w:ascii="Segoe UI" w:hAnsi="Segoe UI" w:cs="Segoe UI"/>
          <w:sz w:val="18"/>
          <w:szCs w:val="18"/>
        </w:rPr>
      </w:pPr>
      <w:r w:rsidRPr="008F47E7">
        <w:t>Authorization of 6 months may be granted as subsequent therapy for recurrent or metastatic cervical cancer when the requested medication will be used as a single agent.</w:t>
      </w:r>
    </w:p>
    <w:p w14:paraId="4F409BB4" w14:textId="2754FC09" w:rsidR="00021AFE" w:rsidRPr="00D92886" w:rsidRDefault="00021AFE">
      <w:pPr>
        <w:pStyle w:val="Heading3"/>
        <w:rPr>
          <w:vertAlign w:val="superscript"/>
        </w:rPr>
      </w:pPr>
      <w:r>
        <w:t>Vaginal Cancer</w:t>
      </w:r>
      <w:r w:rsidR="00BF7D1E">
        <w:rPr>
          <w:vertAlign w:val="superscript"/>
        </w:rPr>
        <w:t>2</w:t>
      </w:r>
    </w:p>
    <w:p w14:paraId="3097B97F" w14:textId="2E86F44A" w:rsidR="00021AFE" w:rsidRPr="00021AFE" w:rsidRDefault="00021AFE" w:rsidP="00D92886">
      <w:pPr>
        <w:pStyle w:val="BodyText"/>
      </w:pPr>
      <w:r>
        <w:t xml:space="preserve">Authorization of 6 months may be granted </w:t>
      </w:r>
      <w:r w:rsidR="000F04B2">
        <w:t xml:space="preserve">as subsequent therapy </w:t>
      </w:r>
      <w:r>
        <w:t>for recurrent or metastatic vaginal cancer when the requested medication will be used as a single agent.</w:t>
      </w:r>
    </w:p>
    <w:p w14:paraId="5AFDE79C" w14:textId="77777777" w:rsidR="00AF08B5" w:rsidRDefault="00AF08B5" w:rsidP="00AF08B5">
      <w:pPr>
        <w:pStyle w:val="Heading3"/>
      </w:pPr>
      <w:r>
        <w:t>Anal Carcinoma</w:t>
      </w:r>
      <w:r>
        <w:rPr>
          <w:vertAlign w:val="superscript"/>
        </w:rPr>
        <w:t>2</w:t>
      </w:r>
    </w:p>
    <w:p w14:paraId="59AB3013" w14:textId="78B252CD" w:rsidR="00AF08B5" w:rsidRPr="00D91152" w:rsidRDefault="00AF08B5" w:rsidP="00AF08B5">
      <w:pPr>
        <w:pStyle w:val="BodyText"/>
      </w:pPr>
      <w:r>
        <w:t>Authorization of 6 months may be granted as subsequent therapy for metastatic anal carcinoma when the requested medication will be used as a single agent.</w:t>
      </w:r>
    </w:p>
    <w:p w14:paraId="3CAC46F4" w14:textId="77777777" w:rsidR="00AF08B5" w:rsidRDefault="00AF08B5" w:rsidP="00AF08B5">
      <w:pPr>
        <w:pStyle w:val="Heading3"/>
      </w:pPr>
      <w:r>
        <w:t>Small Bowel Adenocarcinoma</w:t>
      </w:r>
      <w:r>
        <w:rPr>
          <w:vertAlign w:val="superscript"/>
        </w:rPr>
        <w:t>2</w:t>
      </w:r>
    </w:p>
    <w:p w14:paraId="382AD722" w14:textId="3071A263" w:rsidR="00AF08B5" w:rsidRDefault="00AF08B5" w:rsidP="00AF08B5">
      <w:pPr>
        <w:pStyle w:val="BodyText"/>
      </w:pPr>
      <w:r w:rsidRPr="00D91152">
        <w:t xml:space="preserve">Authorization of </w:t>
      </w:r>
      <w:r>
        <w:t>6</w:t>
      </w:r>
      <w:r w:rsidRPr="00D91152">
        <w:t xml:space="preserve"> months may be granted as a single agent for treatment of </w:t>
      </w:r>
      <w:r w:rsidR="00992908">
        <w:t xml:space="preserve">either of </w:t>
      </w:r>
      <w:r>
        <w:t>the following:</w:t>
      </w:r>
    </w:p>
    <w:p w14:paraId="5E8BFAAF" w14:textId="45F5A918" w:rsidR="00AF08B5" w:rsidRDefault="00AF08B5" w:rsidP="00AF08B5">
      <w:pPr>
        <w:pStyle w:val="BodyText"/>
        <w:numPr>
          <w:ilvl w:val="0"/>
          <w:numId w:val="21"/>
        </w:numPr>
      </w:pPr>
      <w:r>
        <w:t>A</w:t>
      </w:r>
      <w:r w:rsidRPr="00D91152">
        <w:t xml:space="preserve">dvanced or metastatic small bowel adenocarcinoma </w:t>
      </w:r>
      <w:r w:rsidR="00992908">
        <w:t>with</w:t>
      </w:r>
      <w:r w:rsidRPr="00D91152">
        <w:t xml:space="preserve"> microsatellite instability-high (MSI-H), or mismatch repair deficient (dMMR), or polymerase epsilon/delta (POLE/POLD1) tumors</w:t>
      </w:r>
    </w:p>
    <w:p w14:paraId="3B1CE26B" w14:textId="544FEE01" w:rsidR="00AF08B5" w:rsidRDefault="00AF08B5" w:rsidP="00AF08B5">
      <w:pPr>
        <w:pStyle w:val="BodyText"/>
        <w:numPr>
          <w:ilvl w:val="0"/>
          <w:numId w:val="21"/>
        </w:numPr>
      </w:pPr>
      <w:r>
        <w:t xml:space="preserve">Locally unresectable or medically inoperable small bowel adenocarcinoma </w:t>
      </w:r>
      <w:r w:rsidR="00992908">
        <w:t>with</w:t>
      </w:r>
      <w:r>
        <w:t xml:space="preserve"> </w:t>
      </w:r>
      <w:r w:rsidRPr="00D91152">
        <w:t>microsatellite instability-high (MSI-H)</w:t>
      </w:r>
      <w:r>
        <w:t xml:space="preserve"> </w:t>
      </w:r>
      <w:r w:rsidRPr="00D91152">
        <w:t>or mismatch repair deficient (</w:t>
      </w:r>
      <w:proofErr w:type="spellStart"/>
      <w:r w:rsidRPr="00D91152">
        <w:t>dMMR</w:t>
      </w:r>
      <w:proofErr w:type="spellEnd"/>
      <w:r w:rsidRPr="00D91152">
        <w:t>)</w:t>
      </w:r>
      <w:r>
        <w:t xml:space="preserve"> tumors</w:t>
      </w:r>
    </w:p>
    <w:p w14:paraId="76D6F4E5" w14:textId="77777777" w:rsidR="00B51B2F" w:rsidRPr="006A2F27" w:rsidRDefault="00B51B2F" w:rsidP="00B51B2F">
      <w:pPr>
        <w:pStyle w:val="Heading3"/>
      </w:pPr>
      <w:r w:rsidRPr="006A2F27">
        <w:t>Colon Cancer</w:t>
      </w:r>
      <w:r w:rsidRPr="006A2F27">
        <w:rPr>
          <w:vertAlign w:val="superscript"/>
        </w:rPr>
        <w:t>2</w:t>
      </w:r>
    </w:p>
    <w:p w14:paraId="2F7DE373" w14:textId="77777777" w:rsidR="00B51B2F" w:rsidRPr="006A2F27" w:rsidRDefault="00B51B2F" w:rsidP="00B51B2F">
      <w:pPr>
        <w:pStyle w:val="BodyText"/>
      </w:pPr>
      <w:r w:rsidRPr="006816A2">
        <w:t xml:space="preserve">Authorization of 6 months may be </w:t>
      </w:r>
      <w:r w:rsidRPr="008A3A95">
        <w:t>granted as a single agent for neoadjuvant therapy or treatment of unresectable, inoperable, or metastatic colon adenocarcinoma for microsatellite instability-high (MSI-H), or mismatch repair deficient (dMMR), or polymerase epsilon/delta (POLE/POLD1) tumors with ultra-hypermutated phenotype (e.g., tumor mutational burden (TMB) &gt; 50 mut/Mb).</w:t>
      </w:r>
    </w:p>
    <w:p w14:paraId="0B8B8461" w14:textId="77777777" w:rsidR="00B51B2F" w:rsidRPr="006A2F27" w:rsidRDefault="00B51B2F" w:rsidP="00B51B2F">
      <w:pPr>
        <w:pStyle w:val="Heading3"/>
      </w:pPr>
      <w:r w:rsidRPr="006A2F27">
        <w:t>Appendiceal Cancer</w:t>
      </w:r>
      <w:r w:rsidRPr="006A2F27">
        <w:rPr>
          <w:vertAlign w:val="superscript"/>
        </w:rPr>
        <w:t>2</w:t>
      </w:r>
    </w:p>
    <w:p w14:paraId="0262294D" w14:textId="77777777" w:rsidR="00B51B2F" w:rsidRPr="006A2F27" w:rsidRDefault="00B51B2F" w:rsidP="00B51B2F">
      <w:pPr>
        <w:pStyle w:val="BodyText"/>
      </w:pPr>
      <w:r w:rsidRPr="006816A2">
        <w:t>Authorization of 6 months may be granted as a single agent for treatment of advanced or metastatic appendiceal adenocarcinoma for microsatellite instability-high (MSI-H), or mismatch repair deficient (dMMR), or polymerase epsilon/delta (POLE/POLD1) tumors with ultra-hypermutated phenotype (e.g., tumor mutational burden (TMB) &gt; 50 mut/Mb</w:t>
      </w:r>
      <w:r w:rsidRPr="006A2F27">
        <w:t>).</w:t>
      </w:r>
    </w:p>
    <w:p w14:paraId="0AD71AF6" w14:textId="77777777" w:rsidR="00B51B2F" w:rsidRPr="006A2F27" w:rsidRDefault="00B51B2F" w:rsidP="00B51B2F">
      <w:pPr>
        <w:pStyle w:val="Heading3"/>
      </w:pPr>
      <w:r w:rsidRPr="006A2F27">
        <w:t>Rectal Cancer</w:t>
      </w:r>
      <w:r w:rsidRPr="006A2F27">
        <w:rPr>
          <w:vertAlign w:val="superscript"/>
        </w:rPr>
        <w:t>2</w:t>
      </w:r>
    </w:p>
    <w:p w14:paraId="7931F462" w14:textId="77777777" w:rsidR="00B51B2F" w:rsidRDefault="00B51B2F" w:rsidP="00B51B2F">
      <w:pPr>
        <w:pStyle w:val="BodyText"/>
      </w:pPr>
      <w:r w:rsidRPr="006816A2">
        <w:t xml:space="preserve">Authorization of 6 months may be granted as a single agent for neoadjuvant therapy or treatment of recurrent or metastatic </w:t>
      </w:r>
      <w:r>
        <w:t>rectal</w:t>
      </w:r>
      <w:r w:rsidRPr="006816A2">
        <w:t xml:space="preserve"> adenocarcinoma for microsatellite instability-high (MSI-H), or mismatch repair deficient (dMMR), or polymerase epsilon/delta (POLE/POLD1) tumors with ultra-hypermutated phenotype (e.g., tumor mutational burden (TMB) &gt; 50 mut/Mb</w:t>
      </w:r>
      <w:r w:rsidRPr="006A2F27">
        <w:t>).</w:t>
      </w:r>
    </w:p>
    <w:p w14:paraId="3A643EC3" w14:textId="5D2E0C8F" w:rsidR="00A501AC" w:rsidRPr="00BD1CC1" w:rsidRDefault="00A501AC" w:rsidP="00A501AC">
      <w:pPr>
        <w:pStyle w:val="Heading2"/>
      </w:pPr>
      <w:r w:rsidRPr="00BD1CC1">
        <w:t>Continuation of Therapy</w:t>
      </w:r>
    </w:p>
    <w:p w14:paraId="599CBC30" w14:textId="4AA4A762" w:rsidR="00DF59D7" w:rsidRPr="00DF59D7" w:rsidRDefault="00DF59D7" w:rsidP="00DF59D7">
      <w:pPr>
        <w:pStyle w:val="Heading3"/>
      </w:pPr>
      <w:r w:rsidRPr="00DF59D7">
        <w:t>Basal Cell Carcinoma or Cutaneous Squamous Cell Carcinoma</w:t>
      </w:r>
    </w:p>
    <w:p w14:paraId="44ABB022" w14:textId="29B647D9" w:rsidR="00DF59D7" w:rsidRPr="003464BC" w:rsidRDefault="00DF59D7" w:rsidP="00DF59D7">
      <w:pPr>
        <w:pStyle w:val="BodyText"/>
      </w:pPr>
      <w:r w:rsidRPr="00DF59D7">
        <w:t>Authorization of 6 months may be granted (up to 24 months total) for continued treatment in members requesting reauthorization for treatment of basal cell carcinoma or cutaneous squamous cell carcinoma who have not experienced disease progression or an unacceptable toxicity.</w:t>
      </w:r>
    </w:p>
    <w:p w14:paraId="0990E74A" w14:textId="50EF233A" w:rsidR="00DF59D7" w:rsidRPr="00DF59D7" w:rsidRDefault="00DF59D7" w:rsidP="00DF59D7">
      <w:pPr>
        <w:pStyle w:val="Heading3"/>
      </w:pPr>
      <w:r w:rsidRPr="00DF59D7">
        <w:t>All other indications</w:t>
      </w:r>
    </w:p>
    <w:p w14:paraId="366E2C1E" w14:textId="1B9D72A5" w:rsidR="001A55B8" w:rsidRDefault="00DF59D7" w:rsidP="00165FC7">
      <w:pPr>
        <w:pStyle w:val="BodyText"/>
      </w:pPr>
      <w:r w:rsidRPr="00DF59D7">
        <w:t xml:space="preserve">Authorization of 6 months may be granted for continued treatment in members requesting reauthorization for an indication listed in </w:t>
      </w:r>
      <w:r w:rsidR="00617D10" w:rsidRPr="00310D73">
        <w:t xml:space="preserve">in the coverage criteria section </w:t>
      </w:r>
      <w:r w:rsidRPr="00DF59D7">
        <w:t>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0A275F8B" w14:textId="78D8EAA8" w:rsidR="000E0438" w:rsidRPr="008D1B34" w:rsidRDefault="000E0438" w:rsidP="000E0438">
      <w:pPr>
        <w:pStyle w:val="Heading2"/>
      </w:pPr>
      <w:r w:rsidRPr="008D1B34">
        <w:t>References</w:t>
      </w:r>
    </w:p>
    <w:p w14:paraId="550AFF98" w14:textId="0243E55C" w:rsidR="003F63DA" w:rsidRPr="003F63DA" w:rsidRDefault="003F63DA" w:rsidP="00B21ED3">
      <w:pPr>
        <w:pStyle w:val="ReferenceOrdered"/>
      </w:pPr>
      <w:r w:rsidRPr="003F63DA">
        <w:t>Libtayo [package insert]. Tarrytown, NY: Regeneron Pharmaceuticals, Inc.; April 202</w:t>
      </w:r>
      <w:r w:rsidR="00DC5CB0">
        <w:t>4</w:t>
      </w:r>
      <w:r w:rsidRPr="003F63DA">
        <w:t>.</w:t>
      </w:r>
    </w:p>
    <w:p w14:paraId="5E4C7F35" w14:textId="49C7A183" w:rsidR="00BD7325" w:rsidRPr="00BD7325" w:rsidRDefault="003F63DA" w:rsidP="009933DB">
      <w:pPr>
        <w:pStyle w:val="ReferenceOrdered"/>
      </w:pPr>
      <w:r w:rsidRPr="003F63DA">
        <w:t>The NCCN Drugs &amp; Biologics Compendium</w:t>
      </w:r>
      <w:r w:rsidRPr="003F63DA">
        <w:rPr>
          <w:sz w:val="16"/>
          <w:szCs w:val="16"/>
          <w:vertAlign w:val="superscript"/>
        </w:rPr>
        <w:t>®</w:t>
      </w:r>
      <w:r w:rsidRPr="003F63DA">
        <w:t xml:space="preserve"> © 202</w:t>
      </w:r>
      <w:r w:rsidR="008A3A95">
        <w:t>5</w:t>
      </w:r>
      <w:r w:rsidRPr="003F63DA">
        <w:t xml:space="preserve"> National Comprehensive Cancer Network, Inc. Available at: https://www.nccn.org. Accessed </w:t>
      </w:r>
      <w:r w:rsidR="008A3A95">
        <w:t>May 2</w:t>
      </w:r>
      <w:r w:rsidRPr="003F63DA">
        <w:t>, 202</w:t>
      </w:r>
      <w:r w:rsidR="008A3A95">
        <w:t>5</w:t>
      </w:r>
      <w:r w:rsidRPr="003F63DA">
        <w:t>.</w:t>
      </w:r>
    </w:p>
    <w:sectPr w:rsidR="00BD7325" w:rsidRPr="00BD7325"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872A8" w14:textId="77777777" w:rsidR="00791FFC" w:rsidRDefault="00791FFC">
      <w:r>
        <w:separator/>
      </w:r>
    </w:p>
  </w:endnote>
  <w:endnote w:type="continuationSeparator" w:id="0">
    <w:p w14:paraId="3CFFFD68" w14:textId="77777777" w:rsidR="00791FFC" w:rsidRDefault="00791FFC">
      <w:r>
        <w:continuationSeparator/>
      </w:r>
    </w:p>
  </w:endnote>
  <w:endnote w:type="continuationNotice" w:id="1">
    <w:p w14:paraId="5385B440" w14:textId="77777777" w:rsidR="00791FFC" w:rsidRDefault="00791F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3CF3C3A" w:rsidR="00C36B72" w:rsidRPr="00EC47B6" w:rsidRDefault="0011225E" w:rsidP="00C36B72">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26AF1">
      <w:rPr>
        <w:rFonts w:cs="Arial"/>
        <w:noProof/>
        <w:snapToGrid w:val="0"/>
        <w:color w:val="000000"/>
        <w:sz w:val="16"/>
        <w:szCs w:val="16"/>
        <w:lang w:val="pt-BR"/>
      </w:rPr>
      <w:t>Libtayo SGM 2757-A P2025b.docx</w:t>
    </w:r>
    <w:r>
      <w:rPr>
        <w:rFonts w:cs="Arial"/>
        <w:noProof/>
        <w:snapToGrid w:val="0"/>
        <w:color w:val="000000"/>
        <w:sz w:val="16"/>
        <w:szCs w:val="16"/>
        <w:lang w:val="pt-BR"/>
      </w:rPr>
      <w:fldChar w:fldCharType="end"/>
    </w:r>
    <w:r w:rsidR="00C36B72" w:rsidRPr="00EC47B6">
      <w:rPr>
        <w:rFonts w:cs="Arial"/>
        <w:snapToGrid w:val="0"/>
        <w:color w:val="000000"/>
        <w:sz w:val="16"/>
      </w:rPr>
      <w:tab/>
      <w:t>© 202</w:t>
    </w:r>
    <w:r w:rsidR="00DC5CB0">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2DA767F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6147313" w:rsidR="00F75C81" w:rsidRPr="00AA1E6A" w:rsidRDefault="00C36B72" w:rsidP="00165FC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5AA5A95" w:rsidR="00F50D98" w:rsidRPr="00EC47B6" w:rsidRDefault="0011225E" w:rsidP="00F50D98">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FirstCap  \* MERGEFORMAT </w:instrText>
    </w:r>
    <w:r>
      <w:rPr>
        <w:rFonts w:cs="Arial"/>
        <w:noProof/>
        <w:snapToGrid w:val="0"/>
        <w:color w:val="000000"/>
        <w:sz w:val="16"/>
        <w:szCs w:val="16"/>
        <w:lang w:val="pt-BR"/>
      </w:rPr>
      <w:fldChar w:fldCharType="separate"/>
    </w:r>
    <w:r w:rsidR="00526AF1">
      <w:rPr>
        <w:rFonts w:cs="Arial"/>
        <w:noProof/>
        <w:snapToGrid w:val="0"/>
        <w:color w:val="000000"/>
        <w:sz w:val="16"/>
        <w:szCs w:val="16"/>
        <w:lang w:val="pt-BR"/>
      </w:rPr>
      <w:t>Libtayo SGM 2757-A P2025b.docx</w:t>
    </w:r>
    <w:r>
      <w:rPr>
        <w:rFonts w:cs="Arial"/>
        <w:noProof/>
        <w:snapToGrid w:val="0"/>
        <w:color w:val="000000"/>
        <w:sz w:val="16"/>
        <w:szCs w:val="16"/>
        <w:lang w:val="pt-BR"/>
      </w:rPr>
      <w:fldChar w:fldCharType="end"/>
    </w:r>
    <w:r w:rsidR="00F50D98" w:rsidRPr="00EC47B6">
      <w:rPr>
        <w:rFonts w:cs="Arial"/>
        <w:snapToGrid w:val="0"/>
        <w:color w:val="000000"/>
        <w:sz w:val="16"/>
      </w:rPr>
      <w:tab/>
      <w:t>© 202</w:t>
    </w:r>
    <w:r w:rsidR="00DC5CB0">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6B91CF5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3E691F0" w:rsidR="00ED04EC" w:rsidRPr="00F50D98" w:rsidRDefault="00F50D98" w:rsidP="00165FC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99F8F" w14:textId="77777777" w:rsidR="00791FFC" w:rsidRDefault="00791FFC">
      <w:r>
        <w:separator/>
      </w:r>
    </w:p>
  </w:footnote>
  <w:footnote w:type="continuationSeparator" w:id="0">
    <w:p w14:paraId="4650718E" w14:textId="77777777" w:rsidR="00791FFC" w:rsidRDefault="00791FFC">
      <w:r>
        <w:continuationSeparator/>
      </w:r>
    </w:p>
  </w:footnote>
  <w:footnote w:type="continuationNotice" w:id="1">
    <w:p w14:paraId="6D9A6D4E" w14:textId="77777777" w:rsidR="00791FFC" w:rsidRDefault="00791F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43533FDE" w:rsidR="00ED04EC" w:rsidRPr="004A1AA6" w:rsidRDefault="009D4853" w:rsidP="00ED04EC">
          <w:pPr>
            <w:pStyle w:val="Header"/>
            <w:rPr>
              <w:rFonts w:cs="Arial"/>
              <w:sz w:val="16"/>
              <w:szCs w:val="16"/>
            </w:rPr>
          </w:pPr>
          <w:r w:rsidRPr="004A1AA6">
            <w:rPr>
              <w:rFonts w:cs="Arial"/>
              <w:sz w:val="16"/>
              <w:szCs w:val="16"/>
            </w:rPr>
            <w:t>2757-A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BB2EE6" w:rsidRDefault="000F5383" w:rsidP="000F5383">
          <w:pPr>
            <w:pStyle w:val="Header"/>
            <w:rPr>
              <w:rFonts w:cs="Arial"/>
              <w:sz w:val="16"/>
              <w:szCs w:val="16"/>
            </w:rPr>
          </w:pPr>
          <w:r w:rsidRPr="00BB2EE6">
            <w:rPr>
              <w:rFonts w:cs="Arial"/>
              <w:sz w:val="16"/>
              <w:szCs w:val="16"/>
            </w:rPr>
            <w:t>Reference number(s)</w:t>
          </w:r>
        </w:p>
      </w:tc>
    </w:tr>
    <w:tr w:rsidR="000F5383" w:rsidRPr="00ED04EC" w14:paraId="2259874D" w14:textId="77777777">
      <w:trPr>
        <w:trHeight w:val="378"/>
        <w:jc w:val="right"/>
      </w:trPr>
      <w:tc>
        <w:tcPr>
          <w:tcW w:w="1854" w:type="dxa"/>
          <w:hideMark/>
        </w:tcPr>
        <w:p w14:paraId="475EFE95" w14:textId="333E6A62" w:rsidR="000F5383" w:rsidRPr="00165FC7" w:rsidRDefault="0053634F" w:rsidP="000F5383">
          <w:pPr>
            <w:pStyle w:val="Header"/>
            <w:rPr>
              <w:rFonts w:cs="Arial"/>
              <w:color w:val="FF0000"/>
              <w:sz w:val="16"/>
              <w:szCs w:val="16"/>
            </w:rPr>
          </w:pPr>
          <w:r w:rsidRPr="00165FC7">
            <w:rPr>
              <w:rFonts w:cs="Arial"/>
              <w:sz w:val="16"/>
              <w:szCs w:val="16"/>
            </w:rPr>
            <w:t>2757-A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715341"/>
    <w:multiLevelType w:val="hybridMultilevel"/>
    <w:tmpl w:val="6AAE1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18"/>
  </w:num>
  <w:num w:numId="3" w16cid:durableId="611589570">
    <w:abstractNumId w:val="1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4"/>
  </w:num>
  <w:num w:numId="17" w16cid:durableId="2128498676">
    <w:abstractNumId w:val="19"/>
  </w:num>
  <w:num w:numId="18" w16cid:durableId="299724409">
    <w:abstractNumId w:val="17"/>
  </w:num>
  <w:num w:numId="19" w16cid:durableId="214585573">
    <w:abstractNumId w:val="13"/>
  </w:num>
  <w:num w:numId="20" w16cid:durableId="1066490929">
    <w:abstractNumId w:val="20"/>
  </w:num>
  <w:num w:numId="21" w16cid:durableId="187153009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AFE"/>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A6"/>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071"/>
    <w:rsid w:val="00087FA1"/>
    <w:rsid w:val="00090142"/>
    <w:rsid w:val="00090C1B"/>
    <w:rsid w:val="000913DE"/>
    <w:rsid w:val="00091E1D"/>
    <w:rsid w:val="0009336A"/>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30E8"/>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65C5"/>
    <w:rsid w:val="000E6D53"/>
    <w:rsid w:val="000E7263"/>
    <w:rsid w:val="000E76F2"/>
    <w:rsid w:val="000E7B01"/>
    <w:rsid w:val="000E7C60"/>
    <w:rsid w:val="000F04B2"/>
    <w:rsid w:val="000F0AC9"/>
    <w:rsid w:val="000F1039"/>
    <w:rsid w:val="000F1FBC"/>
    <w:rsid w:val="000F20FB"/>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6C18"/>
    <w:rsid w:val="00107394"/>
    <w:rsid w:val="001074E7"/>
    <w:rsid w:val="001075C1"/>
    <w:rsid w:val="00107B1D"/>
    <w:rsid w:val="00110AF8"/>
    <w:rsid w:val="00110DE3"/>
    <w:rsid w:val="00110F57"/>
    <w:rsid w:val="00111842"/>
    <w:rsid w:val="001120B7"/>
    <w:rsid w:val="0011225E"/>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8F1"/>
    <w:rsid w:val="00150AFC"/>
    <w:rsid w:val="00151DA8"/>
    <w:rsid w:val="00152135"/>
    <w:rsid w:val="00153164"/>
    <w:rsid w:val="00154B0F"/>
    <w:rsid w:val="00154E30"/>
    <w:rsid w:val="00155A51"/>
    <w:rsid w:val="001560C4"/>
    <w:rsid w:val="00156A50"/>
    <w:rsid w:val="00156B77"/>
    <w:rsid w:val="00156E31"/>
    <w:rsid w:val="00160472"/>
    <w:rsid w:val="0016101E"/>
    <w:rsid w:val="00162951"/>
    <w:rsid w:val="001630B4"/>
    <w:rsid w:val="00165258"/>
    <w:rsid w:val="00165670"/>
    <w:rsid w:val="00165A99"/>
    <w:rsid w:val="00165FC7"/>
    <w:rsid w:val="001675AA"/>
    <w:rsid w:val="00170325"/>
    <w:rsid w:val="00171575"/>
    <w:rsid w:val="00173AB9"/>
    <w:rsid w:val="001747DB"/>
    <w:rsid w:val="00174F3B"/>
    <w:rsid w:val="001759D2"/>
    <w:rsid w:val="00175B12"/>
    <w:rsid w:val="00175F8E"/>
    <w:rsid w:val="00176167"/>
    <w:rsid w:val="0017651F"/>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59CD"/>
    <w:rsid w:val="001A6053"/>
    <w:rsid w:val="001A7761"/>
    <w:rsid w:val="001B459A"/>
    <w:rsid w:val="001B4C8F"/>
    <w:rsid w:val="001B5232"/>
    <w:rsid w:val="001B68DD"/>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49FE"/>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B2F"/>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00F"/>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1F6"/>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506"/>
    <w:rsid w:val="002754FA"/>
    <w:rsid w:val="00276114"/>
    <w:rsid w:val="0027637A"/>
    <w:rsid w:val="002763A4"/>
    <w:rsid w:val="002765AF"/>
    <w:rsid w:val="00276AF9"/>
    <w:rsid w:val="00277212"/>
    <w:rsid w:val="002773DB"/>
    <w:rsid w:val="00277791"/>
    <w:rsid w:val="002777DF"/>
    <w:rsid w:val="002807CC"/>
    <w:rsid w:val="00280C69"/>
    <w:rsid w:val="00280CC8"/>
    <w:rsid w:val="00280EC5"/>
    <w:rsid w:val="00281401"/>
    <w:rsid w:val="00281A75"/>
    <w:rsid w:val="00281F6C"/>
    <w:rsid w:val="0028234F"/>
    <w:rsid w:val="00283FEE"/>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060"/>
    <w:rsid w:val="002A529C"/>
    <w:rsid w:val="002A58FA"/>
    <w:rsid w:val="002A5E7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0AF"/>
    <w:rsid w:val="002B751E"/>
    <w:rsid w:val="002B7A9E"/>
    <w:rsid w:val="002B7F07"/>
    <w:rsid w:val="002B7FDB"/>
    <w:rsid w:val="002C0682"/>
    <w:rsid w:val="002C0DE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17DB"/>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4BC"/>
    <w:rsid w:val="003468AA"/>
    <w:rsid w:val="00346D5D"/>
    <w:rsid w:val="00347C02"/>
    <w:rsid w:val="00350DF1"/>
    <w:rsid w:val="00351F9E"/>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B11"/>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3DA"/>
    <w:rsid w:val="003F641B"/>
    <w:rsid w:val="003F6690"/>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1774"/>
    <w:rsid w:val="0042209A"/>
    <w:rsid w:val="0042222E"/>
    <w:rsid w:val="00422416"/>
    <w:rsid w:val="004226CD"/>
    <w:rsid w:val="00422766"/>
    <w:rsid w:val="004229CA"/>
    <w:rsid w:val="004236F4"/>
    <w:rsid w:val="004237FD"/>
    <w:rsid w:val="00423C96"/>
    <w:rsid w:val="00425453"/>
    <w:rsid w:val="004260D4"/>
    <w:rsid w:val="004260DE"/>
    <w:rsid w:val="00426A3F"/>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2C29"/>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1AA6"/>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8BD"/>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48B"/>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71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776"/>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273F"/>
    <w:rsid w:val="005233C0"/>
    <w:rsid w:val="00524BFC"/>
    <w:rsid w:val="00524FAE"/>
    <w:rsid w:val="00525A0E"/>
    <w:rsid w:val="00525DDE"/>
    <w:rsid w:val="00526AF1"/>
    <w:rsid w:val="00527038"/>
    <w:rsid w:val="00527402"/>
    <w:rsid w:val="005276C8"/>
    <w:rsid w:val="00527DF6"/>
    <w:rsid w:val="00530F8D"/>
    <w:rsid w:val="00531543"/>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34F"/>
    <w:rsid w:val="00536B4C"/>
    <w:rsid w:val="00537391"/>
    <w:rsid w:val="00537C2E"/>
    <w:rsid w:val="00540230"/>
    <w:rsid w:val="00540519"/>
    <w:rsid w:val="0054060A"/>
    <w:rsid w:val="00540769"/>
    <w:rsid w:val="0054123C"/>
    <w:rsid w:val="00542E88"/>
    <w:rsid w:val="00542F80"/>
    <w:rsid w:val="005444CF"/>
    <w:rsid w:val="00544D46"/>
    <w:rsid w:val="00545584"/>
    <w:rsid w:val="005462B1"/>
    <w:rsid w:val="0054721E"/>
    <w:rsid w:val="00547DC8"/>
    <w:rsid w:val="00552A6C"/>
    <w:rsid w:val="00552AD2"/>
    <w:rsid w:val="005539ED"/>
    <w:rsid w:val="00553C00"/>
    <w:rsid w:val="00554C8D"/>
    <w:rsid w:val="005553FE"/>
    <w:rsid w:val="005555FB"/>
    <w:rsid w:val="0055604A"/>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EE1"/>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69AA"/>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9F3"/>
    <w:rsid w:val="005D3FE0"/>
    <w:rsid w:val="005D47B9"/>
    <w:rsid w:val="005D5FBB"/>
    <w:rsid w:val="005D7081"/>
    <w:rsid w:val="005D72EF"/>
    <w:rsid w:val="005D7947"/>
    <w:rsid w:val="005D7A29"/>
    <w:rsid w:val="005D7EA2"/>
    <w:rsid w:val="005E0BD2"/>
    <w:rsid w:val="005E1266"/>
    <w:rsid w:val="005E3C25"/>
    <w:rsid w:val="005E4938"/>
    <w:rsid w:val="005E5674"/>
    <w:rsid w:val="005E5A43"/>
    <w:rsid w:val="005E5EF1"/>
    <w:rsid w:val="005E6A1A"/>
    <w:rsid w:val="005F0845"/>
    <w:rsid w:val="005F0A5B"/>
    <w:rsid w:val="005F10FC"/>
    <w:rsid w:val="005F1A16"/>
    <w:rsid w:val="005F2E73"/>
    <w:rsid w:val="005F3979"/>
    <w:rsid w:val="005F3DBD"/>
    <w:rsid w:val="005F4CD7"/>
    <w:rsid w:val="005F53B5"/>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17D10"/>
    <w:rsid w:val="00621772"/>
    <w:rsid w:val="00622770"/>
    <w:rsid w:val="00622801"/>
    <w:rsid w:val="00622BDF"/>
    <w:rsid w:val="00623221"/>
    <w:rsid w:val="00624FDF"/>
    <w:rsid w:val="006252F2"/>
    <w:rsid w:val="00625D43"/>
    <w:rsid w:val="00626122"/>
    <w:rsid w:val="00626633"/>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DFD"/>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28E"/>
    <w:rsid w:val="006913AD"/>
    <w:rsid w:val="006917AF"/>
    <w:rsid w:val="006919C1"/>
    <w:rsid w:val="0069283D"/>
    <w:rsid w:val="00692A50"/>
    <w:rsid w:val="00693B34"/>
    <w:rsid w:val="00694B18"/>
    <w:rsid w:val="00694B30"/>
    <w:rsid w:val="00694B8A"/>
    <w:rsid w:val="00694C2D"/>
    <w:rsid w:val="00694FE1"/>
    <w:rsid w:val="00696693"/>
    <w:rsid w:val="00697304"/>
    <w:rsid w:val="006A18A8"/>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101"/>
    <w:rsid w:val="006D4EA6"/>
    <w:rsid w:val="006D618E"/>
    <w:rsid w:val="006D62DA"/>
    <w:rsid w:val="006D662E"/>
    <w:rsid w:val="006D66E8"/>
    <w:rsid w:val="006D6E11"/>
    <w:rsid w:val="006D6FA0"/>
    <w:rsid w:val="006D7245"/>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A6A"/>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390"/>
    <w:rsid w:val="007074F5"/>
    <w:rsid w:val="00711A79"/>
    <w:rsid w:val="007125BE"/>
    <w:rsid w:val="0071294F"/>
    <w:rsid w:val="00712EA4"/>
    <w:rsid w:val="00712F85"/>
    <w:rsid w:val="00714B4F"/>
    <w:rsid w:val="007150E9"/>
    <w:rsid w:val="00715ACF"/>
    <w:rsid w:val="007161D0"/>
    <w:rsid w:val="007162FB"/>
    <w:rsid w:val="00716A56"/>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DB2"/>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FFC"/>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3CA2"/>
    <w:rsid w:val="007A56B7"/>
    <w:rsid w:val="007A5865"/>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C9D"/>
    <w:rsid w:val="007C4D57"/>
    <w:rsid w:val="007C4F4F"/>
    <w:rsid w:val="007C5719"/>
    <w:rsid w:val="007C5812"/>
    <w:rsid w:val="007C70BD"/>
    <w:rsid w:val="007C74F4"/>
    <w:rsid w:val="007D151B"/>
    <w:rsid w:val="007D1C72"/>
    <w:rsid w:val="007D1E64"/>
    <w:rsid w:val="007D223D"/>
    <w:rsid w:val="007D25BB"/>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B63"/>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4D20"/>
    <w:rsid w:val="00817095"/>
    <w:rsid w:val="008171AA"/>
    <w:rsid w:val="0082041F"/>
    <w:rsid w:val="00821A95"/>
    <w:rsid w:val="00822077"/>
    <w:rsid w:val="00822A02"/>
    <w:rsid w:val="00822A08"/>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479"/>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3A95"/>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37C"/>
    <w:rsid w:val="008E160B"/>
    <w:rsid w:val="008E170C"/>
    <w:rsid w:val="008E24FB"/>
    <w:rsid w:val="008E3173"/>
    <w:rsid w:val="008E40F9"/>
    <w:rsid w:val="008E4479"/>
    <w:rsid w:val="008E4958"/>
    <w:rsid w:val="008E510A"/>
    <w:rsid w:val="008E6B75"/>
    <w:rsid w:val="008E6C61"/>
    <w:rsid w:val="008E7659"/>
    <w:rsid w:val="008E7DBC"/>
    <w:rsid w:val="008E7F9D"/>
    <w:rsid w:val="008F05DE"/>
    <w:rsid w:val="008F09AE"/>
    <w:rsid w:val="008F0AC3"/>
    <w:rsid w:val="008F1DC5"/>
    <w:rsid w:val="008F1F8E"/>
    <w:rsid w:val="008F2299"/>
    <w:rsid w:val="008F2441"/>
    <w:rsid w:val="008F28C0"/>
    <w:rsid w:val="008F2AFB"/>
    <w:rsid w:val="008F47E7"/>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04"/>
    <w:rsid w:val="00905F65"/>
    <w:rsid w:val="00906ED2"/>
    <w:rsid w:val="00907D99"/>
    <w:rsid w:val="00910119"/>
    <w:rsid w:val="0091015A"/>
    <w:rsid w:val="00911462"/>
    <w:rsid w:val="0091183B"/>
    <w:rsid w:val="00911B53"/>
    <w:rsid w:val="00911B78"/>
    <w:rsid w:val="00912436"/>
    <w:rsid w:val="00913F97"/>
    <w:rsid w:val="00914B83"/>
    <w:rsid w:val="009159E4"/>
    <w:rsid w:val="009166D3"/>
    <w:rsid w:val="00916BA8"/>
    <w:rsid w:val="0092167E"/>
    <w:rsid w:val="00921E32"/>
    <w:rsid w:val="00921E89"/>
    <w:rsid w:val="00922097"/>
    <w:rsid w:val="009220E9"/>
    <w:rsid w:val="00922DD4"/>
    <w:rsid w:val="00923E67"/>
    <w:rsid w:val="00923E96"/>
    <w:rsid w:val="00924143"/>
    <w:rsid w:val="00924B04"/>
    <w:rsid w:val="009255FA"/>
    <w:rsid w:val="00925647"/>
    <w:rsid w:val="0092652E"/>
    <w:rsid w:val="00926589"/>
    <w:rsid w:val="0092691D"/>
    <w:rsid w:val="00927612"/>
    <w:rsid w:val="00927737"/>
    <w:rsid w:val="00930F9F"/>
    <w:rsid w:val="00930FF5"/>
    <w:rsid w:val="00931D1D"/>
    <w:rsid w:val="00931D32"/>
    <w:rsid w:val="00932126"/>
    <w:rsid w:val="009323E1"/>
    <w:rsid w:val="009324A8"/>
    <w:rsid w:val="00932532"/>
    <w:rsid w:val="00934A46"/>
    <w:rsid w:val="00935131"/>
    <w:rsid w:val="00935BC3"/>
    <w:rsid w:val="00936F49"/>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EC8"/>
    <w:rsid w:val="00985F93"/>
    <w:rsid w:val="00986BF8"/>
    <w:rsid w:val="00986C82"/>
    <w:rsid w:val="009911F3"/>
    <w:rsid w:val="00991319"/>
    <w:rsid w:val="009919D1"/>
    <w:rsid w:val="00992908"/>
    <w:rsid w:val="0099311D"/>
    <w:rsid w:val="009933DB"/>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321"/>
    <w:rsid w:val="009B35DC"/>
    <w:rsid w:val="009B3740"/>
    <w:rsid w:val="009B579E"/>
    <w:rsid w:val="009B5866"/>
    <w:rsid w:val="009B5A24"/>
    <w:rsid w:val="009B6153"/>
    <w:rsid w:val="009B7708"/>
    <w:rsid w:val="009C0A23"/>
    <w:rsid w:val="009C2E32"/>
    <w:rsid w:val="009C3C50"/>
    <w:rsid w:val="009C43F0"/>
    <w:rsid w:val="009C4B9D"/>
    <w:rsid w:val="009C4E1E"/>
    <w:rsid w:val="009C595B"/>
    <w:rsid w:val="009C6673"/>
    <w:rsid w:val="009C6CB5"/>
    <w:rsid w:val="009C6CFE"/>
    <w:rsid w:val="009C7D3E"/>
    <w:rsid w:val="009D0B0C"/>
    <w:rsid w:val="009D0C37"/>
    <w:rsid w:val="009D2D63"/>
    <w:rsid w:val="009D4853"/>
    <w:rsid w:val="009D60F4"/>
    <w:rsid w:val="009D6686"/>
    <w:rsid w:val="009D6C0F"/>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3936"/>
    <w:rsid w:val="00A1485F"/>
    <w:rsid w:val="00A14BF4"/>
    <w:rsid w:val="00A14F1C"/>
    <w:rsid w:val="00A156C9"/>
    <w:rsid w:val="00A15AE5"/>
    <w:rsid w:val="00A16536"/>
    <w:rsid w:val="00A16D77"/>
    <w:rsid w:val="00A16E35"/>
    <w:rsid w:val="00A20159"/>
    <w:rsid w:val="00A20D54"/>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0CD3"/>
    <w:rsid w:val="00A412F8"/>
    <w:rsid w:val="00A41637"/>
    <w:rsid w:val="00A41972"/>
    <w:rsid w:val="00A41BCD"/>
    <w:rsid w:val="00A41D75"/>
    <w:rsid w:val="00A4231E"/>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857"/>
    <w:rsid w:val="00A923EA"/>
    <w:rsid w:val="00A93B35"/>
    <w:rsid w:val="00A94105"/>
    <w:rsid w:val="00A946C6"/>
    <w:rsid w:val="00A94A0D"/>
    <w:rsid w:val="00A9526B"/>
    <w:rsid w:val="00A95A38"/>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4B04"/>
    <w:rsid w:val="00AB5F0B"/>
    <w:rsid w:val="00AB6199"/>
    <w:rsid w:val="00AB67A6"/>
    <w:rsid w:val="00AB6C64"/>
    <w:rsid w:val="00AB7A2F"/>
    <w:rsid w:val="00AB7AED"/>
    <w:rsid w:val="00AC0183"/>
    <w:rsid w:val="00AC04B1"/>
    <w:rsid w:val="00AC0698"/>
    <w:rsid w:val="00AC08A6"/>
    <w:rsid w:val="00AC1ACC"/>
    <w:rsid w:val="00AC2252"/>
    <w:rsid w:val="00AC2831"/>
    <w:rsid w:val="00AC2C91"/>
    <w:rsid w:val="00AC2FF1"/>
    <w:rsid w:val="00AC3092"/>
    <w:rsid w:val="00AC319E"/>
    <w:rsid w:val="00AC3729"/>
    <w:rsid w:val="00AC3ACD"/>
    <w:rsid w:val="00AC3ED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8B5"/>
    <w:rsid w:val="00AF0948"/>
    <w:rsid w:val="00AF0E8F"/>
    <w:rsid w:val="00AF15A0"/>
    <w:rsid w:val="00AF1A38"/>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97B"/>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730"/>
    <w:rsid w:val="00B21ED3"/>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1B2F"/>
    <w:rsid w:val="00B52926"/>
    <w:rsid w:val="00B52F0C"/>
    <w:rsid w:val="00B52F2D"/>
    <w:rsid w:val="00B52F8B"/>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121"/>
    <w:rsid w:val="00B73BA9"/>
    <w:rsid w:val="00B73FA7"/>
    <w:rsid w:val="00B740EF"/>
    <w:rsid w:val="00B74318"/>
    <w:rsid w:val="00B76A92"/>
    <w:rsid w:val="00B76BCF"/>
    <w:rsid w:val="00B76C81"/>
    <w:rsid w:val="00B77B78"/>
    <w:rsid w:val="00B8022C"/>
    <w:rsid w:val="00B80357"/>
    <w:rsid w:val="00B80AC8"/>
    <w:rsid w:val="00B81465"/>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C45"/>
    <w:rsid w:val="00BA5E53"/>
    <w:rsid w:val="00BA759D"/>
    <w:rsid w:val="00BA7968"/>
    <w:rsid w:val="00BA7B15"/>
    <w:rsid w:val="00BB0320"/>
    <w:rsid w:val="00BB2668"/>
    <w:rsid w:val="00BB2EE6"/>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53F"/>
    <w:rsid w:val="00BD2A68"/>
    <w:rsid w:val="00BD2E54"/>
    <w:rsid w:val="00BD5061"/>
    <w:rsid w:val="00BD589A"/>
    <w:rsid w:val="00BD5D53"/>
    <w:rsid w:val="00BD672B"/>
    <w:rsid w:val="00BD6ED4"/>
    <w:rsid w:val="00BD7212"/>
    <w:rsid w:val="00BD7325"/>
    <w:rsid w:val="00BD7674"/>
    <w:rsid w:val="00BE0818"/>
    <w:rsid w:val="00BE181E"/>
    <w:rsid w:val="00BE1A32"/>
    <w:rsid w:val="00BE23F2"/>
    <w:rsid w:val="00BE2659"/>
    <w:rsid w:val="00BE2E87"/>
    <w:rsid w:val="00BE38A5"/>
    <w:rsid w:val="00BE3B53"/>
    <w:rsid w:val="00BE3BC7"/>
    <w:rsid w:val="00BE4562"/>
    <w:rsid w:val="00BE5586"/>
    <w:rsid w:val="00BE5599"/>
    <w:rsid w:val="00BE6F97"/>
    <w:rsid w:val="00BE725B"/>
    <w:rsid w:val="00BE7721"/>
    <w:rsid w:val="00BF094D"/>
    <w:rsid w:val="00BF0CB2"/>
    <w:rsid w:val="00BF1BF2"/>
    <w:rsid w:val="00BF1D36"/>
    <w:rsid w:val="00BF2436"/>
    <w:rsid w:val="00BF3663"/>
    <w:rsid w:val="00BF3789"/>
    <w:rsid w:val="00BF4287"/>
    <w:rsid w:val="00BF4324"/>
    <w:rsid w:val="00BF4E26"/>
    <w:rsid w:val="00BF5865"/>
    <w:rsid w:val="00BF5927"/>
    <w:rsid w:val="00BF5953"/>
    <w:rsid w:val="00BF6C09"/>
    <w:rsid w:val="00BF6C1A"/>
    <w:rsid w:val="00BF7A85"/>
    <w:rsid w:val="00BF7D1E"/>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ABB"/>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B1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6FD1"/>
    <w:rsid w:val="00C272E0"/>
    <w:rsid w:val="00C2763A"/>
    <w:rsid w:val="00C278AA"/>
    <w:rsid w:val="00C27BF9"/>
    <w:rsid w:val="00C27D3E"/>
    <w:rsid w:val="00C31248"/>
    <w:rsid w:val="00C31D09"/>
    <w:rsid w:val="00C325B3"/>
    <w:rsid w:val="00C3283F"/>
    <w:rsid w:val="00C32F79"/>
    <w:rsid w:val="00C33BF9"/>
    <w:rsid w:val="00C34101"/>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495"/>
    <w:rsid w:val="00C44990"/>
    <w:rsid w:val="00C44DB8"/>
    <w:rsid w:val="00C46786"/>
    <w:rsid w:val="00C46C79"/>
    <w:rsid w:val="00C50021"/>
    <w:rsid w:val="00C50045"/>
    <w:rsid w:val="00C50267"/>
    <w:rsid w:val="00C50446"/>
    <w:rsid w:val="00C511E1"/>
    <w:rsid w:val="00C51255"/>
    <w:rsid w:val="00C51B72"/>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4BFF"/>
    <w:rsid w:val="00C95B0D"/>
    <w:rsid w:val="00C95EA6"/>
    <w:rsid w:val="00C960FF"/>
    <w:rsid w:val="00C96369"/>
    <w:rsid w:val="00C96B3F"/>
    <w:rsid w:val="00C96BB1"/>
    <w:rsid w:val="00C9794F"/>
    <w:rsid w:val="00CA08D6"/>
    <w:rsid w:val="00CA0DA0"/>
    <w:rsid w:val="00CA1531"/>
    <w:rsid w:val="00CA156C"/>
    <w:rsid w:val="00CA1C61"/>
    <w:rsid w:val="00CA1FC9"/>
    <w:rsid w:val="00CA22D7"/>
    <w:rsid w:val="00CA273C"/>
    <w:rsid w:val="00CA4298"/>
    <w:rsid w:val="00CA43AA"/>
    <w:rsid w:val="00CA59F7"/>
    <w:rsid w:val="00CA6E68"/>
    <w:rsid w:val="00CA7208"/>
    <w:rsid w:val="00CA7AB9"/>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CF7CE2"/>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5E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17DB0"/>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3AB3"/>
    <w:rsid w:val="00D44336"/>
    <w:rsid w:val="00D44BA5"/>
    <w:rsid w:val="00D45515"/>
    <w:rsid w:val="00D45602"/>
    <w:rsid w:val="00D456BD"/>
    <w:rsid w:val="00D4581E"/>
    <w:rsid w:val="00D47412"/>
    <w:rsid w:val="00D500A7"/>
    <w:rsid w:val="00D50531"/>
    <w:rsid w:val="00D5077A"/>
    <w:rsid w:val="00D50BD5"/>
    <w:rsid w:val="00D50C10"/>
    <w:rsid w:val="00D520CD"/>
    <w:rsid w:val="00D5213B"/>
    <w:rsid w:val="00D5238D"/>
    <w:rsid w:val="00D5331B"/>
    <w:rsid w:val="00D5579C"/>
    <w:rsid w:val="00D56213"/>
    <w:rsid w:val="00D566EA"/>
    <w:rsid w:val="00D56FC3"/>
    <w:rsid w:val="00D578A8"/>
    <w:rsid w:val="00D6162B"/>
    <w:rsid w:val="00D636B5"/>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67CB"/>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2886"/>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75C"/>
    <w:rsid w:val="00DB1811"/>
    <w:rsid w:val="00DB1B3D"/>
    <w:rsid w:val="00DB2117"/>
    <w:rsid w:val="00DB259D"/>
    <w:rsid w:val="00DB29B3"/>
    <w:rsid w:val="00DB2D00"/>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6DA"/>
    <w:rsid w:val="00DC4F07"/>
    <w:rsid w:val="00DC500B"/>
    <w:rsid w:val="00DC54A4"/>
    <w:rsid w:val="00DC5C61"/>
    <w:rsid w:val="00DC5CB0"/>
    <w:rsid w:val="00DC5E7C"/>
    <w:rsid w:val="00DC693A"/>
    <w:rsid w:val="00DC7B0D"/>
    <w:rsid w:val="00DC7CBE"/>
    <w:rsid w:val="00DD0BE4"/>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455"/>
    <w:rsid w:val="00DE66CD"/>
    <w:rsid w:val="00DE6958"/>
    <w:rsid w:val="00DE755D"/>
    <w:rsid w:val="00DF14FB"/>
    <w:rsid w:val="00DF5638"/>
    <w:rsid w:val="00DF59D7"/>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9B1"/>
    <w:rsid w:val="00E07A34"/>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0D7A"/>
    <w:rsid w:val="00E61175"/>
    <w:rsid w:val="00E61889"/>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073"/>
    <w:rsid w:val="00EA5754"/>
    <w:rsid w:val="00EA5ECE"/>
    <w:rsid w:val="00EA6090"/>
    <w:rsid w:val="00EA706A"/>
    <w:rsid w:val="00EA72E4"/>
    <w:rsid w:val="00EA7DAC"/>
    <w:rsid w:val="00EB0299"/>
    <w:rsid w:val="00EB13F8"/>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682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764"/>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5E83"/>
    <w:rsid w:val="00F16EAA"/>
    <w:rsid w:val="00F1748F"/>
    <w:rsid w:val="00F17594"/>
    <w:rsid w:val="00F17E4B"/>
    <w:rsid w:val="00F2074F"/>
    <w:rsid w:val="00F21995"/>
    <w:rsid w:val="00F21B41"/>
    <w:rsid w:val="00F23678"/>
    <w:rsid w:val="00F23747"/>
    <w:rsid w:val="00F24307"/>
    <w:rsid w:val="00F2497D"/>
    <w:rsid w:val="00F24B5F"/>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068"/>
    <w:rsid w:val="00F9171E"/>
    <w:rsid w:val="00F91899"/>
    <w:rsid w:val="00F92268"/>
    <w:rsid w:val="00F933A0"/>
    <w:rsid w:val="00F9341B"/>
    <w:rsid w:val="00F93676"/>
    <w:rsid w:val="00F93AC8"/>
    <w:rsid w:val="00F9431A"/>
    <w:rsid w:val="00F945FC"/>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184"/>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C7CAD"/>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05CD77DF"/>
    <w:rsid w:val="0B6B8328"/>
    <w:rsid w:val="0CC1B48C"/>
    <w:rsid w:val="1456E089"/>
    <w:rsid w:val="29729D5D"/>
    <w:rsid w:val="336BEF1A"/>
    <w:rsid w:val="4F491FCC"/>
    <w:rsid w:val="59CED47F"/>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93D22D-581D-42DC-8841-E658B474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84330891">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498889106">
      <w:bodyDiv w:val="1"/>
      <w:marLeft w:val="0"/>
      <w:marRight w:val="0"/>
      <w:marTop w:val="0"/>
      <w:marBottom w:val="0"/>
      <w:divBdr>
        <w:top w:val="none" w:sz="0" w:space="0" w:color="auto"/>
        <w:left w:val="none" w:sz="0" w:space="0" w:color="auto"/>
        <w:bottom w:val="none" w:sz="0" w:space="0" w:color="auto"/>
        <w:right w:val="none" w:sz="0" w:space="0" w:color="auto"/>
      </w:divBdr>
      <w:divsChild>
        <w:div w:id="482501898">
          <w:marLeft w:val="0"/>
          <w:marRight w:val="0"/>
          <w:marTop w:val="0"/>
          <w:marBottom w:val="0"/>
          <w:divBdr>
            <w:top w:val="none" w:sz="0" w:space="0" w:color="auto"/>
            <w:left w:val="none" w:sz="0" w:space="0" w:color="auto"/>
            <w:bottom w:val="none" w:sz="0" w:space="0" w:color="auto"/>
            <w:right w:val="none" w:sz="0" w:space="0" w:color="auto"/>
          </w:divBdr>
          <w:divsChild>
            <w:div w:id="2011830893">
              <w:marLeft w:val="0"/>
              <w:marRight w:val="0"/>
              <w:marTop w:val="0"/>
              <w:marBottom w:val="0"/>
              <w:divBdr>
                <w:top w:val="none" w:sz="0" w:space="0" w:color="auto"/>
                <w:left w:val="none" w:sz="0" w:space="0" w:color="auto"/>
                <w:bottom w:val="none" w:sz="0" w:space="0" w:color="auto"/>
                <w:right w:val="none" w:sz="0" w:space="0" w:color="auto"/>
              </w:divBdr>
            </w:div>
            <w:div w:id="1197624942">
              <w:marLeft w:val="0"/>
              <w:marRight w:val="0"/>
              <w:marTop w:val="0"/>
              <w:marBottom w:val="0"/>
              <w:divBdr>
                <w:top w:val="none" w:sz="0" w:space="0" w:color="auto"/>
                <w:left w:val="none" w:sz="0" w:space="0" w:color="auto"/>
                <w:bottom w:val="none" w:sz="0" w:space="0" w:color="auto"/>
                <w:right w:val="none" w:sz="0" w:space="0" w:color="auto"/>
              </w:divBdr>
            </w:div>
            <w:div w:id="1901793087">
              <w:marLeft w:val="0"/>
              <w:marRight w:val="0"/>
              <w:marTop w:val="0"/>
              <w:marBottom w:val="0"/>
              <w:divBdr>
                <w:top w:val="none" w:sz="0" w:space="0" w:color="auto"/>
                <w:left w:val="none" w:sz="0" w:space="0" w:color="auto"/>
                <w:bottom w:val="none" w:sz="0" w:space="0" w:color="auto"/>
                <w:right w:val="none" w:sz="0" w:space="0" w:color="auto"/>
              </w:divBdr>
            </w:div>
            <w:div w:id="1687249017">
              <w:marLeft w:val="0"/>
              <w:marRight w:val="0"/>
              <w:marTop w:val="0"/>
              <w:marBottom w:val="0"/>
              <w:divBdr>
                <w:top w:val="none" w:sz="0" w:space="0" w:color="auto"/>
                <w:left w:val="none" w:sz="0" w:space="0" w:color="auto"/>
                <w:bottom w:val="none" w:sz="0" w:space="0" w:color="auto"/>
                <w:right w:val="none" w:sz="0" w:space="0" w:color="auto"/>
              </w:divBdr>
            </w:div>
            <w:div w:id="1266034612">
              <w:marLeft w:val="0"/>
              <w:marRight w:val="0"/>
              <w:marTop w:val="0"/>
              <w:marBottom w:val="0"/>
              <w:divBdr>
                <w:top w:val="none" w:sz="0" w:space="0" w:color="auto"/>
                <w:left w:val="none" w:sz="0" w:space="0" w:color="auto"/>
                <w:bottom w:val="none" w:sz="0" w:space="0" w:color="auto"/>
                <w:right w:val="none" w:sz="0" w:space="0" w:color="auto"/>
              </w:divBdr>
            </w:div>
            <w:div w:id="416295928">
              <w:marLeft w:val="0"/>
              <w:marRight w:val="0"/>
              <w:marTop w:val="0"/>
              <w:marBottom w:val="0"/>
              <w:divBdr>
                <w:top w:val="none" w:sz="0" w:space="0" w:color="auto"/>
                <w:left w:val="none" w:sz="0" w:space="0" w:color="auto"/>
                <w:bottom w:val="none" w:sz="0" w:space="0" w:color="auto"/>
                <w:right w:val="none" w:sz="0" w:space="0" w:color="auto"/>
              </w:divBdr>
            </w:div>
            <w:div w:id="698623974">
              <w:marLeft w:val="0"/>
              <w:marRight w:val="0"/>
              <w:marTop w:val="0"/>
              <w:marBottom w:val="0"/>
              <w:divBdr>
                <w:top w:val="none" w:sz="0" w:space="0" w:color="auto"/>
                <w:left w:val="none" w:sz="0" w:space="0" w:color="auto"/>
                <w:bottom w:val="none" w:sz="0" w:space="0" w:color="auto"/>
                <w:right w:val="none" w:sz="0" w:space="0" w:color="auto"/>
              </w:divBdr>
            </w:div>
            <w:div w:id="1278214313">
              <w:marLeft w:val="0"/>
              <w:marRight w:val="0"/>
              <w:marTop w:val="0"/>
              <w:marBottom w:val="0"/>
              <w:divBdr>
                <w:top w:val="none" w:sz="0" w:space="0" w:color="auto"/>
                <w:left w:val="none" w:sz="0" w:space="0" w:color="auto"/>
                <w:bottom w:val="none" w:sz="0" w:space="0" w:color="auto"/>
                <w:right w:val="none" w:sz="0" w:space="0" w:color="auto"/>
              </w:divBdr>
            </w:div>
            <w:div w:id="1005741112">
              <w:marLeft w:val="0"/>
              <w:marRight w:val="0"/>
              <w:marTop w:val="0"/>
              <w:marBottom w:val="0"/>
              <w:divBdr>
                <w:top w:val="none" w:sz="0" w:space="0" w:color="auto"/>
                <w:left w:val="none" w:sz="0" w:space="0" w:color="auto"/>
                <w:bottom w:val="none" w:sz="0" w:space="0" w:color="auto"/>
                <w:right w:val="none" w:sz="0" w:space="0" w:color="auto"/>
              </w:divBdr>
            </w:div>
            <w:div w:id="1890453130">
              <w:marLeft w:val="0"/>
              <w:marRight w:val="0"/>
              <w:marTop w:val="0"/>
              <w:marBottom w:val="0"/>
              <w:divBdr>
                <w:top w:val="none" w:sz="0" w:space="0" w:color="auto"/>
                <w:left w:val="none" w:sz="0" w:space="0" w:color="auto"/>
                <w:bottom w:val="none" w:sz="0" w:space="0" w:color="auto"/>
                <w:right w:val="none" w:sz="0" w:space="0" w:color="auto"/>
              </w:divBdr>
            </w:div>
            <w:div w:id="392507390">
              <w:marLeft w:val="0"/>
              <w:marRight w:val="0"/>
              <w:marTop w:val="0"/>
              <w:marBottom w:val="0"/>
              <w:divBdr>
                <w:top w:val="none" w:sz="0" w:space="0" w:color="auto"/>
                <w:left w:val="none" w:sz="0" w:space="0" w:color="auto"/>
                <w:bottom w:val="none" w:sz="0" w:space="0" w:color="auto"/>
                <w:right w:val="none" w:sz="0" w:space="0" w:color="auto"/>
              </w:divBdr>
            </w:div>
            <w:div w:id="1237785723">
              <w:marLeft w:val="0"/>
              <w:marRight w:val="0"/>
              <w:marTop w:val="0"/>
              <w:marBottom w:val="0"/>
              <w:divBdr>
                <w:top w:val="none" w:sz="0" w:space="0" w:color="auto"/>
                <w:left w:val="none" w:sz="0" w:space="0" w:color="auto"/>
                <w:bottom w:val="none" w:sz="0" w:space="0" w:color="auto"/>
                <w:right w:val="none" w:sz="0" w:space="0" w:color="auto"/>
              </w:divBdr>
            </w:div>
          </w:divsChild>
        </w:div>
        <w:div w:id="1437991107">
          <w:marLeft w:val="0"/>
          <w:marRight w:val="0"/>
          <w:marTop w:val="0"/>
          <w:marBottom w:val="0"/>
          <w:divBdr>
            <w:top w:val="none" w:sz="0" w:space="0" w:color="auto"/>
            <w:left w:val="none" w:sz="0" w:space="0" w:color="auto"/>
            <w:bottom w:val="none" w:sz="0" w:space="0" w:color="auto"/>
            <w:right w:val="none" w:sz="0" w:space="0" w:color="auto"/>
          </w:divBdr>
          <w:divsChild>
            <w:div w:id="473645315">
              <w:marLeft w:val="0"/>
              <w:marRight w:val="0"/>
              <w:marTop w:val="0"/>
              <w:marBottom w:val="0"/>
              <w:divBdr>
                <w:top w:val="none" w:sz="0" w:space="0" w:color="auto"/>
                <w:left w:val="none" w:sz="0" w:space="0" w:color="auto"/>
                <w:bottom w:val="none" w:sz="0" w:space="0" w:color="auto"/>
                <w:right w:val="none" w:sz="0" w:space="0" w:color="auto"/>
              </w:divBdr>
            </w:div>
            <w:div w:id="191459431">
              <w:marLeft w:val="0"/>
              <w:marRight w:val="0"/>
              <w:marTop w:val="0"/>
              <w:marBottom w:val="0"/>
              <w:divBdr>
                <w:top w:val="none" w:sz="0" w:space="0" w:color="auto"/>
                <w:left w:val="none" w:sz="0" w:space="0" w:color="auto"/>
                <w:bottom w:val="none" w:sz="0" w:space="0" w:color="auto"/>
                <w:right w:val="none" w:sz="0" w:space="0" w:color="auto"/>
              </w:divBdr>
            </w:div>
            <w:div w:id="304429813">
              <w:marLeft w:val="0"/>
              <w:marRight w:val="0"/>
              <w:marTop w:val="0"/>
              <w:marBottom w:val="0"/>
              <w:divBdr>
                <w:top w:val="none" w:sz="0" w:space="0" w:color="auto"/>
                <w:left w:val="none" w:sz="0" w:space="0" w:color="auto"/>
                <w:bottom w:val="none" w:sz="0" w:space="0" w:color="auto"/>
                <w:right w:val="none" w:sz="0" w:space="0" w:color="auto"/>
              </w:divBdr>
            </w:div>
            <w:div w:id="1467819442">
              <w:marLeft w:val="0"/>
              <w:marRight w:val="0"/>
              <w:marTop w:val="0"/>
              <w:marBottom w:val="0"/>
              <w:divBdr>
                <w:top w:val="none" w:sz="0" w:space="0" w:color="auto"/>
                <w:left w:val="none" w:sz="0" w:space="0" w:color="auto"/>
                <w:bottom w:val="none" w:sz="0" w:space="0" w:color="auto"/>
                <w:right w:val="none" w:sz="0" w:space="0" w:color="auto"/>
              </w:divBdr>
            </w:div>
            <w:div w:id="412632096">
              <w:marLeft w:val="0"/>
              <w:marRight w:val="0"/>
              <w:marTop w:val="0"/>
              <w:marBottom w:val="0"/>
              <w:divBdr>
                <w:top w:val="none" w:sz="0" w:space="0" w:color="auto"/>
                <w:left w:val="none" w:sz="0" w:space="0" w:color="auto"/>
                <w:bottom w:val="none" w:sz="0" w:space="0" w:color="auto"/>
                <w:right w:val="none" w:sz="0" w:space="0" w:color="auto"/>
              </w:divBdr>
            </w:div>
            <w:div w:id="617030313">
              <w:marLeft w:val="0"/>
              <w:marRight w:val="0"/>
              <w:marTop w:val="0"/>
              <w:marBottom w:val="0"/>
              <w:divBdr>
                <w:top w:val="none" w:sz="0" w:space="0" w:color="auto"/>
                <w:left w:val="none" w:sz="0" w:space="0" w:color="auto"/>
                <w:bottom w:val="none" w:sz="0" w:space="0" w:color="auto"/>
                <w:right w:val="none" w:sz="0" w:space="0" w:color="auto"/>
              </w:divBdr>
            </w:div>
            <w:div w:id="1469206749">
              <w:marLeft w:val="0"/>
              <w:marRight w:val="0"/>
              <w:marTop w:val="0"/>
              <w:marBottom w:val="0"/>
              <w:divBdr>
                <w:top w:val="none" w:sz="0" w:space="0" w:color="auto"/>
                <w:left w:val="none" w:sz="0" w:space="0" w:color="auto"/>
                <w:bottom w:val="none" w:sz="0" w:space="0" w:color="auto"/>
                <w:right w:val="none" w:sz="0" w:space="0" w:color="auto"/>
              </w:divBdr>
            </w:div>
            <w:div w:id="1153721556">
              <w:marLeft w:val="0"/>
              <w:marRight w:val="0"/>
              <w:marTop w:val="0"/>
              <w:marBottom w:val="0"/>
              <w:divBdr>
                <w:top w:val="none" w:sz="0" w:space="0" w:color="auto"/>
                <w:left w:val="none" w:sz="0" w:space="0" w:color="auto"/>
                <w:bottom w:val="none" w:sz="0" w:space="0" w:color="auto"/>
                <w:right w:val="none" w:sz="0" w:space="0" w:color="auto"/>
              </w:divBdr>
            </w:div>
            <w:div w:id="1037586870">
              <w:marLeft w:val="0"/>
              <w:marRight w:val="0"/>
              <w:marTop w:val="0"/>
              <w:marBottom w:val="0"/>
              <w:divBdr>
                <w:top w:val="none" w:sz="0" w:space="0" w:color="auto"/>
                <w:left w:val="none" w:sz="0" w:space="0" w:color="auto"/>
                <w:bottom w:val="none" w:sz="0" w:space="0" w:color="auto"/>
                <w:right w:val="none" w:sz="0" w:space="0" w:color="auto"/>
              </w:divBdr>
            </w:div>
            <w:div w:id="1603882241">
              <w:marLeft w:val="0"/>
              <w:marRight w:val="0"/>
              <w:marTop w:val="0"/>
              <w:marBottom w:val="0"/>
              <w:divBdr>
                <w:top w:val="none" w:sz="0" w:space="0" w:color="auto"/>
                <w:left w:val="none" w:sz="0" w:space="0" w:color="auto"/>
                <w:bottom w:val="none" w:sz="0" w:space="0" w:color="auto"/>
                <w:right w:val="none" w:sz="0" w:space="0" w:color="auto"/>
              </w:divBdr>
            </w:div>
            <w:div w:id="1570774030">
              <w:marLeft w:val="0"/>
              <w:marRight w:val="0"/>
              <w:marTop w:val="0"/>
              <w:marBottom w:val="0"/>
              <w:divBdr>
                <w:top w:val="none" w:sz="0" w:space="0" w:color="auto"/>
                <w:left w:val="none" w:sz="0" w:space="0" w:color="auto"/>
                <w:bottom w:val="none" w:sz="0" w:space="0" w:color="auto"/>
                <w:right w:val="none" w:sz="0" w:space="0" w:color="auto"/>
              </w:divBdr>
            </w:div>
            <w:div w:id="11301028">
              <w:marLeft w:val="0"/>
              <w:marRight w:val="0"/>
              <w:marTop w:val="0"/>
              <w:marBottom w:val="0"/>
              <w:divBdr>
                <w:top w:val="none" w:sz="0" w:space="0" w:color="auto"/>
                <w:left w:val="none" w:sz="0" w:space="0" w:color="auto"/>
                <w:bottom w:val="none" w:sz="0" w:space="0" w:color="auto"/>
                <w:right w:val="none" w:sz="0" w:space="0" w:color="auto"/>
              </w:divBdr>
            </w:div>
            <w:div w:id="2116897005">
              <w:marLeft w:val="0"/>
              <w:marRight w:val="0"/>
              <w:marTop w:val="0"/>
              <w:marBottom w:val="0"/>
              <w:divBdr>
                <w:top w:val="none" w:sz="0" w:space="0" w:color="auto"/>
                <w:left w:val="none" w:sz="0" w:space="0" w:color="auto"/>
                <w:bottom w:val="none" w:sz="0" w:space="0" w:color="auto"/>
                <w:right w:val="none" w:sz="0" w:space="0" w:color="auto"/>
              </w:divBdr>
            </w:div>
            <w:div w:id="1278290403">
              <w:marLeft w:val="0"/>
              <w:marRight w:val="0"/>
              <w:marTop w:val="0"/>
              <w:marBottom w:val="0"/>
              <w:divBdr>
                <w:top w:val="none" w:sz="0" w:space="0" w:color="auto"/>
                <w:left w:val="none" w:sz="0" w:space="0" w:color="auto"/>
                <w:bottom w:val="none" w:sz="0" w:space="0" w:color="auto"/>
                <w:right w:val="none" w:sz="0" w:space="0" w:color="auto"/>
              </w:divBdr>
            </w:div>
            <w:div w:id="1151215179">
              <w:marLeft w:val="0"/>
              <w:marRight w:val="0"/>
              <w:marTop w:val="0"/>
              <w:marBottom w:val="0"/>
              <w:divBdr>
                <w:top w:val="none" w:sz="0" w:space="0" w:color="auto"/>
                <w:left w:val="none" w:sz="0" w:space="0" w:color="auto"/>
                <w:bottom w:val="none" w:sz="0" w:space="0" w:color="auto"/>
                <w:right w:val="none" w:sz="0" w:space="0" w:color="auto"/>
              </w:divBdr>
            </w:div>
            <w:div w:id="1329095418">
              <w:marLeft w:val="0"/>
              <w:marRight w:val="0"/>
              <w:marTop w:val="0"/>
              <w:marBottom w:val="0"/>
              <w:divBdr>
                <w:top w:val="none" w:sz="0" w:space="0" w:color="auto"/>
                <w:left w:val="none" w:sz="0" w:space="0" w:color="auto"/>
                <w:bottom w:val="none" w:sz="0" w:space="0" w:color="auto"/>
                <w:right w:val="none" w:sz="0" w:space="0" w:color="auto"/>
              </w:divBdr>
            </w:div>
            <w:div w:id="720057569">
              <w:marLeft w:val="0"/>
              <w:marRight w:val="0"/>
              <w:marTop w:val="0"/>
              <w:marBottom w:val="0"/>
              <w:divBdr>
                <w:top w:val="none" w:sz="0" w:space="0" w:color="auto"/>
                <w:left w:val="none" w:sz="0" w:space="0" w:color="auto"/>
                <w:bottom w:val="none" w:sz="0" w:space="0" w:color="auto"/>
                <w:right w:val="none" w:sz="0" w:space="0" w:color="auto"/>
              </w:divBdr>
            </w:div>
            <w:div w:id="461271377">
              <w:marLeft w:val="0"/>
              <w:marRight w:val="0"/>
              <w:marTop w:val="0"/>
              <w:marBottom w:val="0"/>
              <w:divBdr>
                <w:top w:val="none" w:sz="0" w:space="0" w:color="auto"/>
                <w:left w:val="none" w:sz="0" w:space="0" w:color="auto"/>
                <w:bottom w:val="none" w:sz="0" w:space="0" w:color="auto"/>
                <w:right w:val="none" w:sz="0" w:space="0" w:color="auto"/>
              </w:divBdr>
            </w:div>
            <w:div w:id="1621254683">
              <w:marLeft w:val="0"/>
              <w:marRight w:val="0"/>
              <w:marTop w:val="0"/>
              <w:marBottom w:val="0"/>
              <w:divBdr>
                <w:top w:val="none" w:sz="0" w:space="0" w:color="auto"/>
                <w:left w:val="none" w:sz="0" w:space="0" w:color="auto"/>
                <w:bottom w:val="none" w:sz="0" w:space="0" w:color="auto"/>
                <w:right w:val="none" w:sz="0" w:space="0" w:color="auto"/>
              </w:divBdr>
            </w:div>
            <w:div w:id="1529178191">
              <w:marLeft w:val="0"/>
              <w:marRight w:val="0"/>
              <w:marTop w:val="0"/>
              <w:marBottom w:val="0"/>
              <w:divBdr>
                <w:top w:val="none" w:sz="0" w:space="0" w:color="auto"/>
                <w:left w:val="none" w:sz="0" w:space="0" w:color="auto"/>
                <w:bottom w:val="none" w:sz="0" w:space="0" w:color="auto"/>
                <w:right w:val="none" w:sz="0" w:space="0" w:color="auto"/>
              </w:divBdr>
            </w:div>
          </w:divsChild>
        </w:div>
        <w:div w:id="1453984943">
          <w:marLeft w:val="0"/>
          <w:marRight w:val="0"/>
          <w:marTop w:val="0"/>
          <w:marBottom w:val="0"/>
          <w:divBdr>
            <w:top w:val="none" w:sz="0" w:space="0" w:color="auto"/>
            <w:left w:val="none" w:sz="0" w:space="0" w:color="auto"/>
            <w:bottom w:val="none" w:sz="0" w:space="0" w:color="auto"/>
            <w:right w:val="none" w:sz="0" w:space="0" w:color="auto"/>
          </w:divBdr>
          <w:divsChild>
            <w:div w:id="1067462530">
              <w:marLeft w:val="0"/>
              <w:marRight w:val="0"/>
              <w:marTop w:val="0"/>
              <w:marBottom w:val="0"/>
              <w:divBdr>
                <w:top w:val="none" w:sz="0" w:space="0" w:color="auto"/>
                <w:left w:val="none" w:sz="0" w:space="0" w:color="auto"/>
                <w:bottom w:val="none" w:sz="0" w:space="0" w:color="auto"/>
                <w:right w:val="none" w:sz="0" w:space="0" w:color="auto"/>
              </w:divBdr>
            </w:div>
            <w:div w:id="756832689">
              <w:marLeft w:val="0"/>
              <w:marRight w:val="0"/>
              <w:marTop w:val="0"/>
              <w:marBottom w:val="0"/>
              <w:divBdr>
                <w:top w:val="none" w:sz="0" w:space="0" w:color="auto"/>
                <w:left w:val="none" w:sz="0" w:space="0" w:color="auto"/>
                <w:bottom w:val="none" w:sz="0" w:space="0" w:color="auto"/>
                <w:right w:val="none" w:sz="0" w:space="0" w:color="auto"/>
              </w:divBdr>
            </w:div>
            <w:div w:id="1886333041">
              <w:marLeft w:val="0"/>
              <w:marRight w:val="0"/>
              <w:marTop w:val="0"/>
              <w:marBottom w:val="0"/>
              <w:divBdr>
                <w:top w:val="none" w:sz="0" w:space="0" w:color="auto"/>
                <w:left w:val="none" w:sz="0" w:space="0" w:color="auto"/>
                <w:bottom w:val="none" w:sz="0" w:space="0" w:color="auto"/>
                <w:right w:val="none" w:sz="0" w:space="0" w:color="auto"/>
              </w:divBdr>
            </w:div>
            <w:div w:id="1290360211">
              <w:marLeft w:val="0"/>
              <w:marRight w:val="0"/>
              <w:marTop w:val="0"/>
              <w:marBottom w:val="0"/>
              <w:divBdr>
                <w:top w:val="none" w:sz="0" w:space="0" w:color="auto"/>
                <w:left w:val="none" w:sz="0" w:space="0" w:color="auto"/>
                <w:bottom w:val="none" w:sz="0" w:space="0" w:color="auto"/>
                <w:right w:val="none" w:sz="0" w:space="0" w:color="auto"/>
              </w:divBdr>
            </w:div>
            <w:div w:id="42172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72284553">
      <w:bodyDiv w:val="1"/>
      <w:marLeft w:val="0"/>
      <w:marRight w:val="0"/>
      <w:marTop w:val="0"/>
      <w:marBottom w:val="0"/>
      <w:divBdr>
        <w:top w:val="none" w:sz="0" w:space="0" w:color="auto"/>
        <w:left w:val="none" w:sz="0" w:space="0" w:color="auto"/>
        <w:bottom w:val="none" w:sz="0" w:space="0" w:color="auto"/>
        <w:right w:val="none" w:sz="0" w:space="0" w:color="auto"/>
      </w:divBdr>
      <w:divsChild>
        <w:div w:id="388724140">
          <w:marLeft w:val="0"/>
          <w:marRight w:val="0"/>
          <w:marTop w:val="0"/>
          <w:marBottom w:val="0"/>
          <w:divBdr>
            <w:top w:val="none" w:sz="0" w:space="0" w:color="auto"/>
            <w:left w:val="none" w:sz="0" w:space="0" w:color="auto"/>
            <w:bottom w:val="none" w:sz="0" w:space="0" w:color="auto"/>
            <w:right w:val="none" w:sz="0" w:space="0" w:color="auto"/>
          </w:divBdr>
        </w:div>
        <w:div w:id="1639144770">
          <w:marLeft w:val="0"/>
          <w:marRight w:val="0"/>
          <w:marTop w:val="0"/>
          <w:marBottom w:val="0"/>
          <w:divBdr>
            <w:top w:val="none" w:sz="0" w:space="0" w:color="auto"/>
            <w:left w:val="none" w:sz="0" w:space="0" w:color="auto"/>
            <w:bottom w:val="none" w:sz="0" w:space="0" w:color="auto"/>
            <w:right w:val="none" w:sz="0" w:space="0" w:color="auto"/>
          </w:divBdr>
        </w:div>
        <w:div w:id="1118186057">
          <w:marLeft w:val="0"/>
          <w:marRight w:val="0"/>
          <w:marTop w:val="0"/>
          <w:marBottom w:val="0"/>
          <w:divBdr>
            <w:top w:val="none" w:sz="0" w:space="0" w:color="auto"/>
            <w:left w:val="none" w:sz="0" w:space="0" w:color="auto"/>
            <w:bottom w:val="none" w:sz="0" w:space="0" w:color="auto"/>
            <w:right w:val="none" w:sz="0" w:space="0" w:color="auto"/>
          </w:divBdr>
        </w:div>
        <w:div w:id="53894029">
          <w:marLeft w:val="0"/>
          <w:marRight w:val="0"/>
          <w:marTop w:val="0"/>
          <w:marBottom w:val="0"/>
          <w:divBdr>
            <w:top w:val="none" w:sz="0" w:space="0" w:color="auto"/>
            <w:left w:val="none" w:sz="0" w:space="0" w:color="auto"/>
            <w:bottom w:val="none" w:sz="0" w:space="0" w:color="auto"/>
            <w:right w:val="none" w:sz="0" w:space="0" w:color="auto"/>
          </w:divBdr>
        </w:div>
        <w:div w:id="184442075">
          <w:marLeft w:val="0"/>
          <w:marRight w:val="0"/>
          <w:marTop w:val="0"/>
          <w:marBottom w:val="0"/>
          <w:divBdr>
            <w:top w:val="none" w:sz="0" w:space="0" w:color="auto"/>
            <w:left w:val="none" w:sz="0" w:space="0" w:color="auto"/>
            <w:bottom w:val="none" w:sz="0" w:space="0" w:color="auto"/>
            <w:right w:val="none" w:sz="0" w:space="0" w:color="auto"/>
          </w:divBdr>
        </w:div>
        <w:div w:id="1453861087">
          <w:marLeft w:val="0"/>
          <w:marRight w:val="0"/>
          <w:marTop w:val="0"/>
          <w:marBottom w:val="0"/>
          <w:divBdr>
            <w:top w:val="none" w:sz="0" w:space="0" w:color="auto"/>
            <w:left w:val="none" w:sz="0" w:space="0" w:color="auto"/>
            <w:bottom w:val="none" w:sz="0" w:space="0" w:color="auto"/>
            <w:right w:val="none" w:sz="0" w:space="0" w:color="auto"/>
          </w:divBdr>
        </w:div>
        <w:div w:id="1555774344">
          <w:marLeft w:val="0"/>
          <w:marRight w:val="0"/>
          <w:marTop w:val="0"/>
          <w:marBottom w:val="0"/>
          <w:divBdr>
            <w:top w:val="none" w:sz="0" w:space="0" w:color="auto"/>
            <w:left w:val="none" w:sz="0" w:space="0" w:color="auto"/>
            <w:bottom w:val="none" w:sz="0" w:space="0" w:color="auto"/>
            <w:right w:val="none" w:sz="0" w:space="0" w:color="auto"/>
          </w:divBdr>
        </w:div>
        <w:div w:id="1717046996">
          <w:marLeft w:val="0"/>
          <w:marRight w:val="0"/>
          <w:marTop w:val="0"/>
          <w:marBottom w:val="0"/>
          <w:divBdr>
            <w:top w:val="none" w:sz="0" w:space="0" w:color="auto"/>
            <w:left w:val="none" w:sz="0" w:space="0" w:color="auto"/>
            <w:bottom w:val="none" w:sz="0" w:space="0" w:color="auto"/>
            <w:right w:val="none" w:sz="0" w:space="0" w:color="auto"/>
          </w:divBdr>
        </w:div>
        <w:div w:id="827789117">
          <w:marLeft w:val="0"/>
          <w:marRight w:val="0"/>
          <w:marTop w:val="0"/>
          <w:marBottom w:val="0"/>
          <w:divBdr>
            <w:top w:val="none" w:sz="0" w:space="0" w:color="auto"/>
            <w:left w:val="none" w:sz="0" w:space="0" w:color="auto"/>
            <w:bottom w:val="none" w:sz="0" w:space="0" w:color="auto"/>
            <w:right w:val="none" w:sz="0" w:space="0" w:color="auto"/>
          </w:divBdr>
        </w:div>
        <w:div w:id="962730682">
          <w:marLeft w:val="0"/>
          <w:marRight w:val="0"/>
          <w:marTop w:val="0"/>
          <w:marBottom w:val="0"/>
          <w:divBdr>
            <w:top w:val="none" w:sz="0" w:space="0" w:color="auto"/>
            <w:left w:val="none" w:sz="0" w:space="0" w:color="auto"/>
            <w:bottom w:val="none" w:sz="0" w:space="0" w:color="auto"/>
            <w:right w:val="none" w:sz="0" w:space="0" w:color="auto"/>
          </w:divBdr>
        </w:div>
        <w:div w:id="526873447">
          <w:marLeft w:val="0"/>
          <w:marRight w:val="0"/>
          <w:marTop w:val="0"/>
          <w:marBottom w:val="0"/>
          <w:divBdr>
            <w:top w:val="none" w:sz="0" w:space="0" w:color="auto"/>
            <w:left w:val="none" w:sz="0" w:space="0" w:color="auto"/>
            <w:bottom w:val="none" w:sz="0" w:space="0" w:color="auto"/>
            <w:right w:val="none" w:sz="0" w:space="0" w:color="auto"/>
          </w:divBdr>
        </w:div>
        <w:div w:id="1699426639">
          <w:marLeft w:val="0"/>
          <w:marRight w:val="0"/>
          <w:marTop w:val="0"/>
          <w:marBottom w:val="0"/>
          <w:divBdr>
            <w:top w:val="none" w:sz="0" w:space="0" w:color="auto"/>
            <w:left w:val="none" w:sz="0" w:space="0" w:color="auto"/>
            <w:bottom w:val="none" w:sz="0" w:space="0" w:color="auto"/>
            <w:right w:val="none" w:sz="0" w:space="0" w:color="auto"/>
          </w:divBdr>
        </w:div>
      </w:divsChild>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12894489">
      <w:bodyDiv w:val="1"/>
      <w:marLeft w:val="0"/>
      <w:marRight w:val="0"/>
      <w:marTop w:val="0"/>
      <w:marBottom w:val="0"/>
      <w:divBdr>
        <w:top w:val="none" w:sz="0" w:space="0" w:color="auto"/>
        <w:left w:val="none" w:sz="0" w:space="0" w:color="auto"/>
        <w:bottom w:val="none" w:sz="0" w:space="0" w:color="auto"/>
        <w:right w:val="none" w:sz="0" w:space="0" w:color="auto"/>
      </w:divBdr>
      <w:divsChild>
        <w:div w:id="1312828226">
          <w:marLeft w:val="0"/>
          <w:marRight w:val="0"/>
          <w:marTop w:val="0"/>
          <w:marBottom w:val="0"/>
          <w:divBdr>
            <w:top w:val="none" w:sz="0" w:space="0" w:color="auto"/>
            <w:left w:val="none" w:sz="0" w:space="0" w:color="auto"/>
            <w:bottom w:val="none" w:sz="0" w:space="0" w:color="auto"/>
            <w:right w:val="none" w:sz="0" w:space="0" w:color="auto"/>
          </w:divBdr>
        </w:div>
        <w:div w:id="537859559">
          <w:marLeft w:val="0"/>
          <w:marRight w:val="0"/>
          <w:marTop w:val="0"/>
          <w:marBottom w:val="0"/>
          <w:divBdr>
            <w:top w:val="none" w:sz="0" w:space="0" w:color="auto"/>
            <w:left w:val="none" w:sz="0" w:space="0" w:color="auto"/>
            <w:bottom w:val="none" w:sz="0" w:space="0" w:color="auto"/>
            <w:right w:val="none" w:sz="0" w:space="0" w:color="auto"/>
          </w:divBdr>
        </w:div>
        <w:div w:id="1581718518">
          <w:marLeft w:val="0"/>
          <w:marRight w:val="0"/>
          <w:marTop w:val="0"/>
          <w:marBottom w:val="0"/>
          <w:divBdr>
            <w:top w:val="none" w:sz="0" w:space="0" w:color="auto"/>
            <w:left w:val="none" w:sz="0" w:space="0" w:color="auto"/>
            <w:bottom w:val="none" w:sz="0" w:space="0" w:color="auto"/>
            <w:right w:val="none" w:sz="0" w:space="0" w:color="auto"/>
          </w:divBdr>
        </w:div>
        <w:div w:id="937449030">
          <w:marLeft w:val="0"/>
          <w:marRight w:val="0"/>
          <w:marTop w:val="0"/>
          <w:marBottom w:val="0"/>
          <w:divBdr>
            <w:top w:val="none" w:sz="0" w:space="0" w:color="auto"/>
            <w:left w:val="none" w:sz="0" w:space="0" w:color="auto"/>
            <w:bottom w:val="none" w:sz="0" w:space="0" w:color="auto"/>
            <w:right w:val="none" w:sz="0" w:space="0" w:color="auto"/>
          </w:divBdr>
        </w:div>
        <w:div w:id="1248461519">
          <w:marLeft w:val="0"/>
          <w:marRight w:val="0"/>
          <w:marTop w:val="0"/>
          <w:marBottom w:val="0"/>
          <w:divBdr>
            <w:top w:val="none" w:sz="0" w:space="0" w:color="auto"/>
            <w:left w:val="none" w:sz="0" w:space="0" w:color="auto"/>
            <w:bottom w:val="none" w:sz="0" w:space="0" w:color="auto"/>
            <w:right w:val="none" w:sz="0" w:space="0" w:color="auto"/>
          </w:divBdr>
        </w:div>
      </w:divsChild>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03758844">
      <w:bodyDiv w:val="1"/>
      <w:marLeft w:val="0"/>
      <w:marRight w:val="0"/>
      <w:marTop w:val="0"/>
      <w:marBottom w:val="0"/>
      <w:divBdr>
        <w:top w:val="none" w:sz="0" w:space="0" w:color="auto"/>
        <w:left w:val="none" w:sz="0" w:space="0" w:color="auto"/>
        <w:bottom w:val="none" w:sz="0" w:space="0" w:color="auto"/>
        <w:right w:val="none" w:sz="0" w:space="0" w:color="auto"/>
      </w:divBdr>
      <w:divsChild>
        <w:div w:id="901448080">
          <w:marLeft w:val="0"/>
          <w:marRight w:val="0"/>
          <w:marTop w:val="0"/>
          <w:marBottom w:val="0"/>
          <w:divBdr>
            <w:top w:val="none" w:sz="0" w:space="0" w:color="auto"/>
            <w:left w:val="none" w:sz="0" w:space="0" w:color="auto"/>
            <w:bottom w:val="none" w:sz="0" w:space="0" w:color="auto"/>
            <w:right w:val="none" w:sz="0" w:space="0" w:color="auto"/>
          </w:divBdr>
        </w:div>
        <w:div w:id="1829975916">
          <w:marLeft w:val="0"/>
          <w:marRight w:val="0"/>
          <w:marTop w:val="0"/>
          <w:marBottom w:val="0"/>
          <w:divBdr>
            <w:top w:val="none" w:sz="0" w:space="0" w:color="auto"/>
            <w:left w:val="none" w:sz="0" w:space="0" w:color="auto"/>
            <w:bottom w:val="none" w:sz="0" w:space="0" w:color="auto"/>
            <w:right w:val="none" w:sz="0" w:space="0" w:color="auto"/>
          </w:divBdr>
        </w:div>
        <w:div w:id="799111025">
          <w:marLeft w:val="0"/>
          <w:marRight w:val="0"/>
          <w:marTop w:val="0"/>
          <w:marBottom w:val="0"/>
          <w:divBdr>
            <w:top w:val="none" w:sz="0" w:space="0" w:color="auto"/>
            <w:left w:val="none" w:sz="0" w:space="0" w:color="auto"/>
            <w:bottom w:val="none" w:sz="0" w:space="0" w:color="auto"/>
            <w:right w:val="none" w:sz="0" w:space="0" w:color="auto"/>
          </w:divBdr>
        </w:div>
      </w:divsChild>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44641651">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E93AAA0E-A910-4470-81DB-A5FB59D2BF0F}"/>
</file>

<file path=docProps/app.xml><?xml version="1.0" encoding="utf-8"?>
<Properties xmlns="http://schemas.openxmlformats.org/officeDocument/2006/extended-properties" xmlns:vt="http://schemas.openxmlformats.org/officeDocument/2006/docPropsVTypes">
  <Template>Normal.dotm</Template>
  <TotalTime>5</TotalTime>
  <Pages>5</Pages>
  <Words>1160</Words>
  <Characters>6977</Characters>
  <Application>Microsoft Office Word</Application>
  <DocSecurity>0</DocSecurity>
  <Lines>142</Lines>
  <Paragraphs>105</Paragraphs>
  <ScaleCrop>false</ScaleCrop>
  <HeadingPairs>
    <vt:vector size="2" baseType="variant">
      <vt:variant>
        <vt:lpstr>Title</vt:lpstr>
      </vt:variant>
      <vt:variant>
        <vt:i4>1</vt:i4>
      </vt:variant>
    </vt:vector>
  </HeadingPairs>
  <TitlesOfParts>
    <vt:vector size="1" baseType="lpstr">
      <vt:lpstr>Libtayo SGM 2757-A</vt:lpstr>
    </vt:vector>
  </TitlesOfParts>
  <Company>PCS Health Systems</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Libtayo SGM 2757-A</dc:title>
  <dc:subject>Libtayo SGM 2757-A</dc:subject>
  <dc:creator>CVS Caremark</dc:creator>
  <cp:keywords/>
  <cp:lastModifiedBy>Ortiz, Erica M</cp:lastModifiedBy>
  <cp:revision>9</cp:revision>
  <cp:lastPrinted>2018-01-09T06:01:00Z</cp:lastPrinted>
  <dcterms:created xsi:type="dcterms:W3CDTF">2025-05-15T15:30:00Z</dcterms:created>
  <dcterms:modified xsi:type="dcterms:W3CDTF">2025-06-06T17:18:00Z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333600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